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03.02.2022 г. №.188-2022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Гемофильтр, площадь 1,4 м² AV 600 S</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Площадь мембраны не более 1,4м2, толщина стенки капилляра 35мкм, внутренний диаметр капилляра 220мкм, объем заполнения не более 110мл, скорость фильтрации 20% от Qb, рабочий поток крови 200-500мл/мин.,материал мембраны полисульфон, материал корпуса поликарбонат, рекомендуемая скорость фильтрации 20%, стерилизация паровая in line steam.</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состоящая из артериальной, венозной магистралей и магистрали фильтрата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иньекций.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для гемодиализа двухпросветный, кратковременный, прямой, диаметр 13,5 Fr, длина 20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Изготовлен из рентгенконтрастного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атравматичный кончик катетера. Вращающиеся крылья для фиксации катетера.  Скорость кровотока 300-400 мл/мин при венозном давлении 250 мм рт. ст. Стеггер на кончике длинной 3 см значительно снижает скорость рециркуляции. Размеры: диаметр  13,5 Fr, длина 20 см. Конфигурация: прямой. Стерилен в течение 3-х лет. Состав набора: Катетер – 1 шт., Пункционная игла – 1 шт., Проводник – 70 cm. х 0,038 in. – 1 шт., Инъекционные колпачки – 2 шт., Гепариновая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Магистрали кровопроводящие для гемофильтрации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кровопроводящая, совместимая с аппаратом Aquarius,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элементов для 4-х датчиков, портов для подключения пациента и гемофильтра, мешков для замещающего раствора и ультрафильтрата, камеры для определения утечки крови. Экстакорпоральный объем не более 105мл.</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диализата  158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158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Luer-коннектор 1шт., камера подогрева 1шт., стерилизация этиленоксидом.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для плазмосепарации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4шт.,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фильтрата, 5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Мешки пластиковые пустые, 5000мл 9 шт. в упаковке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фильтрата, 10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Объём заполнения не менее 10 л. Наличие крана для слива фильтрата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9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постоянной заместительной почечной терапии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постоянной заместительной почечной терапии multiFiltrate- Kit CVVHD EMiC2 в составе:  </w:t>
              <w:br/>
              <w:t>
1.1 Гемофильтр -    1 шт.</w:t>
              <w:br/>
              <w:t>
Клиренс при скорости потока крови 100 мл/мин и скорости потока диализата 30 мл/мин, мл/мин  </w:t>
              <w:br/>
              <w:t>
Мочевина - Не менее 30</w:t>
              <w:br/>
              <w:t>
Креатинин - Не менее 30</w:t>
              <w:br/>
              <w:t>
Витамин В12 - Не менее 29</w:t>
              <w:br/>
              <w:t>
Инулин - Не менее 28</w:t>
              <w:br/>
              <w:t>
Клиренс при скорости потока крови 125 мл/мин и скорости потока диализата 125 мл/мин, мл/мин </w:t>
              <w:br/>
              <w:t>
Мочевина - Не менее 105</w:t>
              <w:br/>
              <w:t>
Креатинин - Не менее 103</w:t>
              <w:br/>
              <w:t>
Витамин В12 - Не менее 84</w:t>
              <w:br/>
              <w:t>
Инулин -    Не менее 60</w:t>
              <w:br/>
              <w:t>
        </w:t>
              <w:br/>
              <w:t>
Коэффициент просеивания:    </w:t>
              <w:br/>
              <w:t>
Инулин -    Не менее 1</w:t>
              <w:br/>
              <w:t>
Миоглобин - Не менее 0,8</w:t>
              <w:br/>
              <w:t>
Альбумин -  Не более 0,01</w:t>
              <w:br/>
              <w:t>
Β2 - микроглобулин -    не менее 0,9</w:t>
              <w:br/>
              <w:t>
Эффективная площадь поверхности мембраны - 1,8 м²</w:t>
              <w:br/>
              <w:t>
Скорость потока крови - 100-350 мл/мин</w:t>
              <w:br/>
              <w:t>
Толщина стенки капилляра - 35 нм</w:t>
              <w:br/>
              <w:t>
Внутренний диаметр капилляра - 220 нм</w:t>
              <w:br/>
              <w:t>
Объем заполнения - не более 130 мл</w:t>
              <w:br/>
              <w:t>
Скорость фильтрации - 10 % от эффективного потока крови </w:t>
              <w:br/>
              <w:t>
Материал мембраны    - полисульфон</w:t>
              <w:br/>
              <w:t>
Стерилизация -  Паровая – in line steam</w:t>
              <w:br/>
              <w:t>
1.2 Система магистралей, совместимая с аппаратом Multifiltrate  - 1 шт.</w:t>
              <w:br/>
              <w:t>
Объем заполнения - 170 мл</w:t>
              <w:br/>
              <w:t>
Магистраль артериальная - наличие</w:t>
              <w:br/>
              <w:t>
Артериальная ловушка  - 1 шт</w:t>
              <w:br/>
              <w:t>
Диаметр артериальной ловушки    - 22 мм </w:t>
              <w:br/>
              <w:t>
Отведения для датчика давления - 2 шт</w:t>
              <w:br/>
              <w:t>
Магистраль венозная - 1 шт</w:t>
              <w:br/>
              <w:t>
Насосный сегмент - 1 шт</w:t>
              <w:br/>
              <w:t>
Диаметр насосного сегмента - 6,4 мм</w:t>
              <w:br/>
              <w:t>
Адаптер для  фиксации насосного сегмента, «красный» -   1 шт</w:t>
              <w:br/>
              <w:t>
Магистраль венозная -    наличие</w:t>
              <w:br/>
              <w:t>
Венозная  ловушка - 1 шт</w:t>
              <w:br/>
              <w:t>
Диаметр венозной ловушки - 22 мм</w:t>
              <w:br/>
              <w:t>
Отведения для датчика давления - 1 шт</w:t>
              <w:br/>
              <w:t>
Мешок дренажный - 2000 мл</w:t>
              <w:br/>
              <w:t>
Порт для инъекций - наличие</w:t>
              <w:br/>
              <w:t>
Магисталь фильтрата - наличие</w:t>
              <w:br/>
              <w:t>
Насосный сегмент - 1 шт</w:t>
              <w:br/>
              <w:t>
Диаметр насосного сегмента - 6,4 мм</w:t>
              <w:br/>
              <w:t>
Адаптер для  фиксации насосного сегмента, «желтый»  - 1 шт</w:t>
              <w:br/>
              <w:t>
Отведения для датчика давления - 1 шт</w:t>
              <w:br/>
              <w:t>
Порт для инъекций - наличие</w:t>
              <w:br/>
              <w:t>
1.3 Магистраль диализата, совместимая с аппаратом multiFiltrate -   1 шт.</w:t>
              <w:br/>
              <w:t>
Объем заполнения - 158 мл</w:t>
              <w:br/>
              <w:t>
Насосный сегмент - 1 шт</w:t>
              <w:br/>
              <w:t>
Диаметр насосного сегмента - 6,4 мм</w:t>
              <w:br/>
              <w:t>
Адаптер для  фиксации насосного сегмента, «зеленый» - 1 шт </w:t>
              <w:br/>
              <w:t>
HF- коннектор - 2 шт.</w:t>
              <w:br/>
              <w:t>
Камера подогрева -  наличие</w:t>
              <w:br/>
              <w:t>
Стерилизация - ЭТО</w:t>
              <w:br/>
              <w:t>
Объем заполнения - 158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Раствор гемодиализный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Гемодиализный раствор  бикарбонатный, в пластиковых мешках не менее 5л, упакован в двухкамерный мешок, не содержащий поливинилхлорид, объемом не менее 5000мл, готовый состав после смешивания содержит: NaCl  6,14г/л, CaCl 2H2O 0,257г/л, MgCl 6H2O 0,102г/л, NaHCO3 2,94г/л, KCL 0,149-0,298г/л, безводной глюкозы 1,0 г/л, 100% бикарбонатный буфер, отсутствие лактата, стерильный, срок хранения не менее 24 месяцев.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на основе полимеров для адсорбции цитокинов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 профилактика и лечение полиорганной недостаточности при операциях на сердце, сепсисе различной этиологии, септическом шоке, ОРДС. Система на основе полимеров для адсорбции цитокинов молекулярной массы 8-55кДа, стерильная, однократного применения, с принадлежностями.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для экстракорпорального очищения крови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предназначено для экстракорпорального очищения крови путем адсорбции эндогенных и экзогенных токсических веществ в стерильном цилиндре, заполненном гемосорбентом. Должны быть: Тип гемосорбента: гранулы поверхностно модифицированного сополимера стирола и дивинилбензола. Принцип действия сорбента: селективная гемосорбция липополисахаридов (ЛПС). Сорбционная емкость устройства по ЛПС – не менее 790.000 единиц     эндотоксина. Удельная поверхность сорбента – не менее 700  м2/г . Внутренний объем устройства - 210±10 мл. Свободный объем заполнения устройства – не более 100 мл. Соединительные элементы – «Luer Lock», конусно-винтовое  соединение. Скорость перфузии крови через устройство – до 200 мл/мин. Длина устройства – не более 250 мм. Устройство должно быть стерильным и апирогенным, стерилизация гамма- излучением. Одноразовое использование. Потенциальными потребителями могут являться взрослые и дети с 14 лет.</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Фракционатор для селективного высокообъемного плазмафереза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трансфузиологическое обеспечение операций на сердце,лечение полиорганной недостаточности. Материал мембраны - кополимер этилена и винилового спирта. Размер пор мембраны - 0,01 мкм.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 для инжектомата 50 мл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14 КАЛЕНДАРНЫХ ДНЕЙ.</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08.02.2022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