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654"/>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19/11/2021 г. №.1853-2021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Бумага диаграммная для ЭКГ 104 х 100 х 300л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Бумага диаграммная для ЭКГ 104 мм х 100 мм х 300 листов. Складывающаяся, термочувствительная.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пачка</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синий.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спинальная 25G, тип «Карандаш», удлиненная с ликвор-идентификатором, в комплекте с иглой-направителем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Назначение: проведение спинальной анестезии.Материалы: медицинская нержавеющая сталь, поликарбонат, полипропилен. Состав: Игла – тонкостенная, устойчивая на излом, диаметром 25G,  длиной не менее 103 мм,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 Игла-направитель - диаметром 20G длиной не более 35 мм, со стандартным 3-х гранным срезом дистального кончика и рифленым павильоном с разъемом Люэр Лок Жен. Упаковка: стерильно упакованная.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спинальная 22G, тип "Стилет" с ликвор-идентификатором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22G, длиной не более 103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(черный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для внутривенного доступа с удлинителем 19G/1.1 мм,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19G/1.10 мм - 20 мм, скорость потока не менее 43 мл/мин, остаточный объем не более 0.41 мл.</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для внутривенного доступа с удлинителем 21G/0.80 мм,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21G/0.80 мм - 20 мм, скорость потока не менее 25 мл/мин, остаточный объем не более 0.39 мл.</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для внутривенного доступа с удлинителем 23G/0.65 мм, 20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23G/0.65 мм - 20 мм, скорость потока не менее 11 мл/мин, остаточный объем не более 0.39 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18G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33 мм, скорость потока не менее 103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20G - 1.1 мм, длина 33 мм, скорость потока не менее 61 мл/мин.</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внутривенный 22G с инъекционным портом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22G - 0.9 мм, длина 25 мм, скорость потока не менее 36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гемодиализа двухпросветный, кратковременный, изогнутый, диаметр 13,5 Fr, длина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изогнутый.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гемодиализа двухпросветный, кратковременный, прямой, диаметр 13,5 Fr, длина 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прямой.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Нелатона СН 14 мужской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14/40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Нелатона СН 16 мужской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мужской уретральный Нелатона. Размер СН 16/40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18 двухходовый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Фолея 2-х ходовый СН 18.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Клинок ларингоскопический, тип "МАКИНТОШ", одноразовый, пластиковый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Отвечает требованием стандарта DIN EN ISO 7376-3. Тип Макинтош, анатомически изогнутый для упрощения интубации. Фиброоптический световод без возможности замены и без защитного тубуса с боковым рассеиванием светового потока не более 5%. Круглое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25 мм. Длина клинка 155 мм. Предназначен для одноразового использования. Не стерильный.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с влагосборниками, длина 1.6 м с дополнительным шлангом 0.8 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Одноразовый дыхательный гофрированный контур диаметром 22 мм, длиной 1,6 м с дополнительным шлангом 0,8м и двумя портами 7,6 мм. Состав: два гофрированных прозрачных шланга длиной 1,6 м, с местами для отреза каждые 0,4 м, диаметром 22 мм с коннекцией 22F; дополнительный гофрированный прозрачный  шланг длиной 0,8 м с местами для отреза каждые 0,4 м, диаметром 22 мм с коннекцией 22F; Y-образный параллельный коннектор на пациента с двумя портами 7,6 мм, с герметизирующими заглушками откидного типа, с соединениями 22M-22M-22M/15F c защитным колпачком ребристой структуры 22F со штуцером для фиксации; четыре  жестких прямых коннектора-адаптера 22F-22M; два жестких прямых коннектора-адаптера 22М-22М. Материалы: полиэтилен, полипропилен, эластомер. Клинически чисто, в индивидуальной упаковке, не содержит латекса, однократного применения. Срок годности не менее 5 лет от даты производства.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пациента с датчиком потока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Общая характеристика:   Контур пациента в комплекте с предустановленным датчиком потока.</w:t>
              <w:br/>
              <w:t>
Категория пациентов:    взрослые, дети.</w:t>
              <w:br/>
              <w:t>
Вид исполнения контура  Коаксиальный. (двухтрубочный)</w:t>
              <w:br/>
              <w:t>
Температура хранения    от -20 до 60°С.</w:t>
              <w:br/>
              <w:t>
Температура использования   от -15 до 50°С. </w:t>
              <w:br/>
              <w:t>
Длина контура   180 см.</w:t>
              <w:br/>
              <w:t>
Патрубки подключения линии вдоха и выдоха   Наличие</w:t>
              <w:br/>
              <w:t>
Комплайнс контура при давлении 60 см.вд.ст. 1,8 мл/см.вд.ст.</w:t>
              <w:br/>
              <w:t>
Встроенный датчик измерения давления, потока и объема.  Наличие</w:t>
              <w:br/>
              <w:t>
Диапазон измерения потока   от 0 до 180 л/мин. </w:t>
              <w:br/>
              <w:t>
Мертвое пространство:   10,3 мл.</w:t>
              <w:br/>
              <w:t>
Сопротивление:  1,6 мбар/л/с </w:t>
              <w:br/>
              <w:t>
Длина измерительных трубок: 185 см.</w:t>
              <w:br/>
              <w:t>
Точность откалиброванного датчика потока.   20%</w:t>
              <w:br/>
              <w:t>
Цветовая кодировка измерительных линий  Наличие</w:t>
              <w:br/>
              <w:t>
Материал датчика:   "корпус -  прозрачный АБС, </w:t>
              <w:br/>
              <w:t>
    заслонка - полиэстер, </w:t>
              <w:br/>
              <w:t>
    трубки - поливинилхлорид (без диэтилгексилфталата)."</w:t>
              <w:br/>
              <w:t>
Адаптер для проведения калибровки датчика потока    Наличие</w:t>
              <w:br/>
              <w:t>
Заглушка для проверки герметичности контура Наличие</w:t>
              <w:br/>
              <w:t>
Система фиксации измерительных линий датчика вдоль контура пациента Наличие</w:t>
              <w:br/>
              <w:t>
Все компоненты не содержат латекса, фталата, диэтилгексифталата, веществ животного происхождения, канцерогенных, токсичных веществ. Соответствие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Кран 3-ходовой, 360°, синий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Кран из прозрачного, химически-устойчивого поликарбоната (Class 0), Т-образный корпус с прямоточными каналами, коннекторы Люэр лок; регулятор потоков 3600 синий (вена), с щелчковым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М3 (2/0), 150 см, без иглы,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Хирургический синтетический нерассасывающийся стерильный шовный материал. Синтетический нерассасывающийся стерильный хирургический шовный материал из полиэтилентерефталата. Структура нити - плетеная. Толщина нити EP(USP) 3(2/0), длина 150 см. Без иглы. Каждая нить  индивидуально упакована.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М4 (1), 150 см, без иглы,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плетеная нерассасывающаяся полиэфирная, цвет белый, стерильная. Условный размер (USP) 1 метрический размер (EP) 4, длина нити  150см. Нить находится на фиксаторе повышенной длины, обеспечивающим крепление и визуализацию нити, а также равномерный сход нити с фиксатора, для предотвращения "эффекта памяти". Дважды стерильная, обандероленная индивидуальная упаковка. Наличие в маркировке и на этикетке кода производителя хирургического шовного материала. Информация о хирургическом шовном материале полностью отражена на этикетке и заводской упаковке. Данная информация дублируется штриховым и матричным кодом со всеми характеристиками хирургического шовного материала и данными производителя. Наличие инструкции о хирургическом шовном материале на русском языке. Срок стерильности 5 лет.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М4 (1), 75 см, игла обратно-режущая 45 мм, 3/8,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МедЛавсан" - нить хирургическая (от 1 до 20 шт.) из полиэфира, плетеная или крученая, окрашенная (зелёная) и неокрашенная, следующих метрических размеров (условных номеров): 0,01 (12-0); 0,1 ( 11-0); 0,2 (10-0); 0,3 (9-0); 0,4 (8-0); 0,5 (7-0)- 0 7 (6-0); 1 (5-0); 1,5 (4-0); 2 (3-0); 2,5 (-); 3 (2-0); 3,5 (0); 4 (1); 5 (2); 6 (3-4); 7 (5); 8 (6); 9 (7); 10 (8); 11 (9); 12(10), длиной нити: от 0,2 до 100 м с тагом 0,05 м, уложенная в фиксатор, с иглами хирургическим (от 1 до 12 щт.) развернутой длиной от 3 до 150 мм, диаметром от 0,05 до 2,0 мм;  степенью изгиба: G - прямая, J - 4/5 окружности, F - 5/8 окружности, Н -1/2 окружности, N - 7/16 окружности, D - 3/8 окружности, V - 1/4 окружности, I - 5/16 окружности; жесткостью: массивная, тонкая, стандартная; формой поперечного сечения и острия иглы. R - колющая (цилиндрическая с уплощением форма поперечного сечения тела и коническая заточка конца иглы), S - режущая (трёхгранная форма поперечного сечения тела с направлением одной из граней внутрь), В - щпателевидная с обратной заточкой, Q - обратно-режущая (трёхгранная форма поперечного сечения тела с направлением одной из граней наружу), W - режущая (цилиндрическая с уплощением форма поперечного сечения тела с трехгранной заточкой с направлением одной из граней внутрь), О - колющая (цилиндрическая с уплощением форма поперечного сечения тела с тупым концом); п - с насечками или без насечек; формой ущка: 1 - пружинящая, 2 - непружинящая или без игл хирургических; с укрепляющими пластинами из фетра медицинского, или из ПТФЭ, или из ксеноперикарда (от 1 до 20 шт.) длиной и шириной от 2 до 12 мм с шагом 1 мм и толщиной от 0,5 до 2 мм с щагом 0,1 мм Или без пластин.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Лезвия хирургические стерильные №23 из нержавеющей стали изгтовлены в соответствии с BS EN ISO 7153-1, прочностью не менее 700 HV, cовместимые с хирургической ручкой № 4 Парагон. Допустимое содержание углерода в стали 0,6% - 0,7%; серы не более 0,025%; фофора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Лейкопластырь на нетканой основе 5 х 500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Лейкопластырь на нетканой основе 5 х 500 см, гипоаллергенный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Лейкопластырь на тканевой основе 3 х 500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Лейкопластырь на тканевой основе 3 х 500 см, гипоаллергенный.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большая взрослая, р.5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желтым цветом. Размер 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Анестезиологическая лицевая маска дыхательного контура для взрослых средняя  одноразовая. Описание: Анестезиологическая маска  (для дыхательного контура,  масочного наркоза, неинвазивной вентиляции легких в т.ч.с системами для ручного искусственного дыхания)  анатомической формы с манжетой предварительного надува,  с крепежным кольцом с четырьмя фиксаторами и с кодировкой зеленого цвета, с системой «холдер», без клапана поддува. Корпус маски полностью прозрачный. Манжета маски обеспечивает герметичное прилегание к лицу пациента. Коннектор 22F. Размер 4. Материал: полипропилен, полиэтилен. Не содержит  латекса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кислород для взрослых с кислородной трубкой 2,1 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Взрослая кислородная маска категории Эко с кислородной трубкой 2,1 м. Назначение: подача кислорода средней концентрации. Состав: анатомическая  прозрачная маска для взрослых, обеспечивающая оптимальную герметичность, смесеобразующее симметричное отверстие, силиконизированный мягкий обод, зеленый поддерживающий шнур, кислородный штуцер 6 мм, боковые отверстия с силиконизированными заглушками. Обеспечивает подачу средней фракционной концентрации кислорода во вдыхаемой  смеси:  для потока 5 л/мин не более 35%;  для потока 6 л/мин не более 40%;  для потока 8 л/мин не более 50%. Кислородная продольноармированная трубка длиной 2,1 м. Материал: биодеградируемый пластик, полиэтилен, эластомер. Не содержит латекса (указано производителем на упаковке изделия), клинически чисто, в индивидуальной упаковке, однократного применения. Срок годности не менее 5 лет.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р.L,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L (Large), высота 150 мм, ширина 107 мм, профиль 120 мм, Объем мертвого пространства — 169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р.M,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M (Medium), высота 140 мм, ширина 105 мм, профиль 113 мм. Объем мертвого пространства — 151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7500 V2TM c наголовником, невентилируемая, без антиасфиксического клапана, р.S, многоразовая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для неинвазивной вентиляции легких, невентилируемая, без антиасфиксического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вентиляции,  ID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Velcro,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50L/min, 0,7 см Н2О при 100 L/min.  Непреднамеренная утечка при рабочем давлении:  20 см Н2О — 4 L/min и 30 см Н2О — 5 L/min. Рабочая температура 5-40С, Влажность 0-95% Типоразмер маски -  S (Small), высота 132 мм, ширина 103 мм, профиль 109 мм, Объем мертвого пространства — 125 мл, Вес — 123,74 г. Многоразовая, автоклавируемая не менее 25 циклов стерилизации.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пластмассовый мужской тип "Утка", многоразовый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полимерный предназначен для применения в медицинской практике при уходе за больными в отделениях интенсивной терапии, реанимационных и общих палатах в условиях лечебных учреждений. Наружные и внутренние поверхности мочеприемника и насадки устойчивы к дезинфекции по МУ-287-113-3% раствором хлорамина ТУ 6-01-4689387-16-89.</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двухканальным ЦВК 7Fr/16G-16G/20см с антибактериальным покрытием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 вен по Сельдингеру для длительной инфузии и мониторинга  с покрытым антибактериальной защитой двухканальным катетером. Материал катетера: термолабильный, атромбогенный, Rg- контрастный полиуретан с антибактериальным атромбогенными покрытием из полигексанида. Требование к покрытию катетера: антибактериальное атромбогенное покрытие необратимо связано с катетером и не смывается  поверхности катетер покрыт по всей длине снаружи и изнутри.  Состав набора: Двухканальный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7F/2,4мм, длина катетера 20 см, каналы: дистальный 16G (поток – 64 мл/мин), проксимальный 16G (поток 53 мл/мин). Пункционная клапанная V-канюля тонкостенная, с овальным срезом 1,3 х 70 мм, профилированный прозрачный павильон, Люэр лок, боковой порт с клапаном для проводника. Дилататоры пластиковые, цельнолитые. Изгибоустойчивый гибкий металлический проводник,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Люэр лок. Передвигаемые и фиксируемые крылышки с 2-мя отверстиями для фиксации лигатурой. Кабель для ЭКГ контроля постановки катетера. Скальпель.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одноканальным ЦВК 14G/20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чрезкожной дилятационной трахеостомии с бужем и трахеостомической канюлей 8,0 мм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выполнения дилатационной чрезкожной трахеостомии в составе: дилататор с винтовой резьбой, покрытым гидрогелем, трахеостомическая канюля с внутренним диаметром 8,0 мм с подвижным фланцем крепления фиксатора; внутренний многоразовый постановочный буж, пункционная игла 17G x 70 мм, гибкий j-образный проводник, скальпель, шприц Люэр Лок, шейная лента крепления. Не содержит латекса. Стерильная индивидуальная упаковка.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Небулайзер 20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Оптимальный размер частиц (2-5 мкм). Порт для аэрозольной маски или загубника. Съемная крышка с защитой от протекания препарата. Стерильный. Одноразовый. Изготовлен из прозрачного полипропилена.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рулонная 10 х 1000 см на нетканевой основе, нестерильная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10 х 1000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рулонная 10 х 1000 см на нетканевой основе, нестерильная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15 х 1000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7,5 х 7,5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рану, содержит в своём составе 0,1% полигексаметилен бигуанида (ПГМБ) для предотвращения повторного инфицирования раны. Повязка применяется, преимущественно, для лечения инфицированных сухих ран,  экссудирующих ран, хронических ран различного генеза, таких как пролежни, трофические и диабетические язвы. Раневая повязка обладает антимикробным (антибактериальным) эффектом, а том числе в отношении MRSA, VRE, C.Albicans (а также иные дрожжеподобные грибы). Повязка не содержит таких действующих веществ, как хлоргексидин биглюконата (и его производного - мирамистина),  ферментов (в том числе химотрипсина), ионов серебра (в том числе коллоидного серебра), пчелиного воска, метилурацила, йода во избежание возникновения аллергических реакций и возникновения эффекта сенсибилизации. Повязка имеет возможность нахождения на ране max три дня. Размер: 7,5 см х  7,5 смя. Повязка стерильная и индивидуально упакованная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гидроколлоидная 10 х 10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способность (24 ч): мин. 1,4 г/10см2. Величина pH: 4 - 8. Индивидуальная упаковка каждой повязки. Размер 10 х 10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 губчатым гидрогелевым покрытием HYDROTAC 10х10см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на губчатой основе из полиуретана с гидрогелевым покрытием для лечения ран во влажной среде на стадиях грануляции и эпителизации с незначительной или умеренной экссудацией, особенно показана для лечения хронических, плохо заживающих ран, например, трофических и диабетических язв и пролежней. Повязка быстро и эффективно впитывает избыточный раневой экссудат. Повязка имеет гидроактивную часть (гидрогель) на стороне, контактирующей с раной; поддерживает влажную среду в ране. Верхний слой: эластичная, проницаемая для водяных паров полиуретановая пленка, препятствующая проникновению жидкости и микроорганизмов. Скорость паропроницаемости 1800 г/кв.м в течение 24 часов.  Стерильная. Индивидуальная упаковка каждой повязки. Размер: 10х10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липидоколлоидная стерильная 15 х 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Липидоколлоидная стерильная повязка  для местного лечения острых и хронических ран  со слабым или умеренным экссудированием на полиэстерной основе без риска разволокнения при удалении, с применением гидроколлоидных частиц (когезионная способность геля =&gt;90%)  для обеспечения влажной среды заживления, неадгезивная мелкоячеистая основа (размер ячейки полиэстерной сетки =&lt; 1мм x 1мм) и с содержанием парафина и когезивных полимеров (сила адгезии &lt;=0,01Н/25мм) для обеспечения атравматичности, гипоаллергенная рН 7 +-0,5, защитные полимерные покрытия с планиметрической сеткой - для оценки размера раны и процесса заживления.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послеоперационная, стерильная с сорбционной подушечкой на нетканевой основе 7 х 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медицинская стерильная самоклеющаяся на нетканой основе, с впитывающей подушечкой с полимерным сетчатым раноконтактным слоем для обеспечения атравматичной и безболезненной смены повязки. Размер повязки 7х5см. Для ухода за послеоперационными ранами и незначительными повреждениями кожи с низким и умеренным количеством экссудата. Не содержит натурального латекса. Клеящая основа гипоаллергенная из полиакрилата. Упакована в индивидуальную стерильную упаковку</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самоклеящаяся на рану 15 х 8 см №25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 Клеящая сила 18+/-5 Н/25 мм. Стерильная индивидуальная упаковка каждой повязки. Размер: 15 х 8 см, размер впитывающей подушечки 110 х 38 мм, допускается отклонение +/-10% от указанных размеров. В упаковке 25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самоклеящаяся на рану, 25 х 10 см №25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25 х 10 см. размер впитывающей подушечки 205 х 55 мм, допускается отклонение +/-10% от указанных размеров. В упаковке 25 штук.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Повязка самоклеящаяся на рану, 35 х 10 см №25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35 х 10 см. размер впитывающей подушечки 305 х 55 мм, допускается отклонение +/-10% от указанных размеров. В упаковке 25 штук.</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энтерального питания гравитационная, 1000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прямой  конфигурируемый  22M/15F-22 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прямой  конфигурируемый  22M/15F-22 F  Соединитель прямой конфигурируемый 22M/15F-22 F.  Длина от 90 до 150 мм. Мертвое пространство 16-25 мл соответственно.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Термометр медицинский жидкостный безртутный в футляре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корпуса – стекло закаленное. Диапазон измерения температуры – от 35°С до 42°С, Точность измерений – +/- 0,1° С. Время измерения 3-5 мин. Отсутствие ртути, отсутствие спирта. Заменитель ртути – жидкий сплав металлов -Галлий, Индий, Олово. Защитный пластиковый  футляр.</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силиконовая 9 х 13 в упаковке по 3 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изготовлена из 100% медицинского силикона выдерживающего автоклавирование. Внутренний диаметр 9мм. Наружный диаметр 13мм. В упаковке 3кг.</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Увлажнитель пузырьковый с емкостью</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Пузырьковый увлажнитель с устройством механической звуковой сигнализации повышения давления. Предназначен для пациентов на самостоятельном дыхании, нуждающихся в разных вариантах кислородотерапии. Емкость - 400 мл. Рабочее давление - 4 атм. Представляет собой пластиковый прозрачный контейнер высотой 137 мм с навинчивающейся синей крышкой. Контейнер имеет двойную маркировку наполнения: "re-fill" - минимальный уровень и "max" - максимальный уровень наполнения. Внутрь контейнера погружена выходящая из внутренней поверхности крышки трубка, оканчивающаяся наконечником из микропористого материала для распыления подаваемого кислорода. На внешней поверхности крышки в области проекции трубки имеется поворотный коннектор для присоединения флуометра. Патрубок для подсоединения кислородного катетера расположен на верхней поверхности крышки под углом  90º. Увлажнитель упакован в идивидуальную упаковку. Изготовлен в режиме "чистых помещений". В транспортной упаковке 50 шт. Срок хранения - 5 лет.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инфузионных насосов, диаметр 2.7 мм, длина 150 см, ПВХ, стандарт</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закрытого плеврального и грудного дренажа по Матису, полный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закрытого плеврального и грудного дренажа по Матису. Тонкостенная пункционная игла, 3.35 х 78 мм; катетер из полиуретана, рентгеноконтрастный, с защитным чехлом, 2.7 х 450 мм; двойной антирефлюксный клапан; пакет для сбора жидкости 2,0 л; шприц Луэр лок 60 мл; трехходовой кран с удлинителем 100 мм.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пункции плевральной полости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пункции плевральной полости. Пункция плевральной полости с целью удаления различных жидкостей, воздуха при пневмотораксе, или для введения медикаментов. Тонкостенная пункционная игла с коротким срезом 1,8 х 80 мм; удлинитель с соединением Люэр лок; шприц трехкомпонентный 60 мл, Люэр лок; трехходовой кран; пакет для сбора жидкости 2л с соединительной трубкой.</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дыхательный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Бактериальновирусный фильтр – электростатический, с эффективностью фильтрации бактерий &gt; 99,99%, вирусов &gt; 99,99%, влагоотдачи пациенту не менее 30 мг. Н2О/л при Vt 1000 мл, потери влаги 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дыхательный гидрофобный бактериальновирусный с СО2-портом,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Бактериальновирусный фильтр - электростатический, двухстороннего действия, фильтрирующая мембрана площадью не менее 19,25 см2, с эффективностью фильтрации бактерий &gt; 99,99%, вирусов &gt; 99,99%, мертвым пространством 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 грамм. Коннекторы 15M/22F-22M/15F. Прозрачный корпус, наличие дополнительного порта для измерения СО2.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Фильтр воздушного канала - диаметр пор 0.45 микрон.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 Стерилизация шприцев газовая - оксидом этилена. Средний срок годности шприцев не менее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трехкомпонентный объемом 50 мл для шприцевых дозаторов с иглой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трехкомпонентный для шприцевых насосов 50 мл с иглой (G14, длина 30 мм),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15.12.2021 г.</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654"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24.11.2021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654"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8310" w:type="dxa"/>
            <w:gridSpan w:val="10"/>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