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 w:rsidRPr="002C3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Pr="002C3084" w:rsidRDefault="0051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30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E6903" w:rsidRPr="002C3084" w:rsidRDefault="00DE6903">
            <w:pPr>
              <w:rPr>
                <w:lang w:val="en-US"/>
              </w:rPr>
            </w:pP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 w:rsidP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№.1846-2022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  <w:p w:rsidR="002C3084" w:rsidRDefault="002C3084">
            <w:pPr>
              <w:jc w:val="center"/>
            </w:pP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определения антител к двуспиральной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ДНК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96-луночный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разделяемыми на отдельные лунки. Используемый антиген: комплексное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Тип анализа: возможность количественного (по 3 калибраторам) и полуколичественного анализа. Исследуемый образец: сыворотка и плазма (ЭДТА, гепарин или цитрат) крови. Время и условия инкубации 30+30+15 мин. при комнатной температуре, без встряхивания. Хара</w:t>
            </w:r>
            <w:r>
              <w:rPr>
                <w:rFonts w:ascii="Times New Roman" w:hAnsi="Times New Roman"/>
                <w:sz w:val="24"/>
                <w:szCs w:val="24"/>
              </w:rPr>
              <w:t>ктеристика реагентов – полностью готовые к применению (промывочный буфер – концентрат), взаимозаменяемые между лотами (кроме калибраторов и контролей). Количество и характеристика калибраторов: 3, жидкие, готовые к применению, диапазон концентраций от 10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/мл, окраска снижается с уменьшением концентрации. Цветовая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кодировка  реагентов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Минимальный объем исследуемого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образца:не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Разведение образца 1/201. Наличие в наборе положительной и отрицательной контрольных сывороток (на основе сыво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человека)–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имеются. Длина волны считывания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после вскрытия/приготовления реагентов – в течение указанного срока годности при 2-8 ºС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4 месяцев при 2-8 ºС, готовый промывочный раствор – не менее 1 месяца при 2-8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ºС). Объем компонентов набора: калибраторы 3х2 мл; контроли 2х2 мл; ферментный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1х12 мл; буфер для разведения образцов 1х100 мл; концентрат буфера для промывки 1х100 мл (на 1000 мл готового буфера); субстрат 1х12 мл; стоп-реагент 1х12 мл. Стабильн</w:t>
            </w:r>
            <w:r>
              <w:rPr>
                <w:rFonts w:ascii="Times New Roman" w:hAnsi="Times New Roman"/>
                <w:sz w:val="24"/>
                <w:szCs w:val="24"/>
              </w:rPr>
              <w:t>ость окраски после внесения стоп-раствора - не менее 30 минут. Специфичность набора не менее 99%.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</w:t>
            </w:r>
            <w:r>
              <w:rPr>
                <w:rFonts w:ascii="Times New Roman" w:hAnsi="Times New Roman"/>
                <w:sz w:val="24"/>
                <w:szCs w:val="24"/>
              </w:rPr>
              <w:t>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</w:t>
            </w:r>
            <w:r>
              <w:rPr>
                <w:rFonts w:ascii="Times New Roman" w:hAnsi="Times New Roman"/>
                <w:sz w:val="24"/>
                <w:szCs w:val="24"/>
              </w:rPr>
              <w:t>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капсидному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антигену (VCA)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системы 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раннему антигену (ЕА)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- 96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</w:t>
            </w:r>
            <w:r>
              <w:rPr>
                <w:rFonts w:ascii="Times New Roman" w:hAnsi="Times New Roman"/>
                <w:sz w:val="24"/>
                <w:szCs w:val="24"/>
              </w:rPr>
              <w:t>иммуноферментная для выявления антител класса G к вирусу простого герпеса в сыворотке и плазме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Время инкубации не более 1ч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выявления антител класса М к вирусу </w:t>
            </w:r>
            <w:r>
              <w:rPr>
                <w:rFonts w:ascii="Times New Roman" w:hAnsi="Times New Roman"/>
                <w:sz w:val="24"/>
                <w:szCs w:val="24"/>
              </w:rPr>
              <w:t>простого герпеса 1 и 2 типов в сыворотке и плазме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</w:t>
            </w:r>
            <w:r>
              <w:rPr>
                <w:rFonts w:ascii="Times New Roman" w:hAnsi="Times New Roman"/>
                <w:sz w:val="24"/>
                <w:szCs w:val="24"/>
              </w:rPr>
              <w:t>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иммуноферментная для качественного и количеств-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антител класса G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сыворотке и плазме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-системы  от 12 до 18 месяцев. Наличие унифицированных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выявления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класса 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 и плазме крови человека №96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системы 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количественного определения ДНК вируса EBV, CMV и HHV6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ПЦР-смесь-1 не должна быть расфасована по пробиркам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ОКО, ПКО ДНК EBV/CMV/HHV6 и ДНК человека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РНК-буфера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не менее двух ДНК-калибраторов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тестов не менее 110</w:t>
            </w:r>
          </w:p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не менее 6 месяцев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СРБ. Метод-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объем фасовки 48мл.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1-2 флакона по 20 мл, R2 1 флакон 8 мл.). Возможность проведения исследований на анализаторе AU 680.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-ка)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амилазы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определения активности альфа-амилазы в сыворотке, плазме крови и моче (кинетический метод, субстрат </w:t>
            </w:r>
            <w:r>
              <w:rPr>
                <w:rFonts w:ascii="Times New Roman" w:hAnsi="Times New Roman"/>
                <w:sz w:val="24"/>
                <w:szCs w:val="24"/>
              </w:rPr>
              <w:t>CNP-олигосахарид). Набор для полуавтоматических и автоматических анализаторов 4*50мл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  <w:r>
              <w:rPr>
                <w:rFonts w:ascii="Times New Roman" w:hAnsi="Times New Roman"/>
                <w:sz w:val="24"/>
                <w:szCs w:val="24"/>
              </w:rPr>
              <w:t>калибровочный 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Калибровочный газ 1 (34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баллон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ID  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растворителем. Титр 1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</w:t>
            </w:r>
            <w:r>
              <w:rPr>
                <w:rFonts w:ascii="Times New Roman" w:hAnsi="Times New Roman"/>
                <w:sz w:val="24"/>
                <w:szCs w:val="24"/>
              </w:rPr>
              <w:t>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Прозрачная жидкость синего цвета. Титр в реакции агглютинации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</w:t>
            </w:r>
            <w:r>
              <w:rPr>
                <w:rFonts w:ascii="Times New Roman" w:hAnsi="Times New Roman"/>
                <w:sz w:val="24"/>
                <w:szCs w:val="24"/>
              </w:rPr>
              <w:t>мл. Остаточный срок годности на дату поставки 80% от гарантированного.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5168D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E6903" w:rsidRDefault="00DE69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 w:rsidP="005168D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  <w:bookmarkStart w:id="0" w:name="_GoBack"/>
            <w:bookmarkEnd w:id="0"/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16.11.2022 17:00:00 по местному времени. 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E6903" w:rsidRDefault="00DE6903"/>
        </w:tc>
        <w:tc>
          <w:tcPr>
            <w:tcW w:w="2535" w:type="dxa"/>
            <w:shd w:val="clear" w:color="auto" w:fill="auto"/>
            <w:vAlign w:val="bottom"/>
          </w:tcPr>
          <w:p w:rsidR="00DE6903" w:rsidRDefault="00DE6903"/>
        </w:tc>
        <w:tc>
          <w:tcPr>
            <w:tcW w:w="3315" w:type="dxa"/>
            <w:shd w:val="clear" w:color="auto" w:fill="auto"/>
            <w:vAlign w:val="bottom"/>
          </w:tcPr>
          <w:p w:rsidR="00DE6903" w:rsidRDefault="00DE6903"/>
        </w:tc>
        <w:tc>
          <w:tcPr>
            <w:tcW w:w="1125" w:type="dxa"/>
            <w:shd w:val="clear" w:color="auto" w:fill="auto"/>
            <w:vAlign w:val="bottom"/>
          </w:tcPr>
          <w:p w:rsidR="00DE6903" w:rsidRDefault="00DE6903"/>
        </w:tc>
        <w:tc>
          <w:tcPr>
            <w:tcW w:w="1275" w:type="dxa"/>
            <w:shd w:val="clear" w:color="auto" w:fill="auto"/>
            <w:vAlign w:val="bottom"/>
          </w:tcPr>
          <w:p w:rsidR="00DE6903" w:rsidRDefault="00DE6903"/>
        </w:tc>
        <w:tc>
          <w:tcPr>
            <w:tcW w:w="1470" w:type="dxa"/>
            <w:shd w:val="clear" w:color="auto" w:fill="auto"/>
            <w:vAlign w:val="bottom"/>
          </w:tcPr>
          <w:p w:rsidR="00DE6903" w:rsidRDefault="00DE6903"/>
        </w:tc>
        <w:tc>
          <w:tcPr>
            <w:tcW w:w="2100" w:type="dxa"/>
            <w:shd w:val="clear" w:color="auto" w:fill="auto"/>
            <w:vAlign w:val="bottom"/>
          </w:tcPr>
          <w:p w:rsidR="00DE6903" w:rsidRDefault="00DE6903"/>
        </w:tc>
        <w:tc>
          <w:tcPr>
            <w:tcW w:w="1995" w:type="dxa"/>
            <w:shd w:val="clear" w:color="auto" w:fill="auto"/>
            <w:vAlign w:val="bottom"/>
          </w:tcPr>
          <w:p w:rsidR="00DE6903" w:rsidRDefault="00DE6903"/>
        </w:tc>
        <w:tc>
          <w:tcPr>
            <w:tcW w:w="1650" w:type="dxa"/>
            <w:shd w:val="clear" w:color="auto" w:fill="auto"/>
            <w:vAlign w:val="bottom"/>
          </w:tcPr>
          <w:p w:rsidR="00DE6903" w:rsidRDefault="00DE6903"/>
        </w:tc>
        <w:tc>
          <w:tcPr>
            <w:tcW w:w="1905" w:type="dxa"/>
            <w:shd w:val="clear" w:color="auto" w:fill="auto"/>
            <w:vAlign w:val="bottom"/>
          </w:tcPr>
          <w:p w:rsidR="00DE6903" w:rsidRDefault="00DE6903"/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E6903" w:rsidRDefault="005168DF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168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903"/>
    <w:rsid w:val="002C3084"/>
    <w:rsid w:val="005168DF"/>
    <w:rsid w:val="00D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FE4AE-A49D-458F-80B3-8D59AF3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2022-11-14T09:38:00Z</dcterms:created>
  <dcterms:modified xsi:type="dcterms:W3CDTF">2022-11-14T10:53:00Z</dcterms:modified>
</cp:coreProperties>
</file>