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5000" w:type="pct"/>
        <w:tblLayout w:type="fixed"/>
        <w:tblCellMar>
          <w:left w:w="0" w:type="dxa"/>
          <w:right w:w="0" w:type="dxa"/>
        </w:tblCellMar>
        <w:tblLook w:val="04A0"/>
      </w:tblPr>
      <w:tblGrid>
        <w:gridCol w:w="945"/>
        <w:gridCol w:w="2535"/>
        <w:gridCol w:w="3315"/>
        <w:gridCol w:w="1125"/>
        <w:gridCol w:w="1275"/>
        <w:gridCol w:w="1470"/>
        <w:gridCol w:w="2100"/>
        <w:gridCol w:w="1995"/>
        <w:gridCol w:w="1650"/>
        <w:gridCol w:w="1905"/>
      </w:tblGrid>
      <w:tr>
        <w:trPr>
          <w:cantSplit/>
          <w:trHeight w:val="0" w:hRule="auto"/>
        </w:trPr>
        <w:tc>
          <w:tcPr>
            <w:tcW w:w="6795" w:type="dxa"/>
            <w:gridSpan w:val="3"/>
            <w:shd w:val="clear" w:color="auto" w:fill="auto"/>
            <w:textDirection w:val="lrTb"/>
            <w:vAlign w:val="bottom"/>
          </w:tcPr>
          <w:p>
            <w:pPr>
              <w:spacing w:after="0"/>
              <w:wordWrap w:val="1"/>
              <w:jc w:val="center"/>
            </w:pPr>
            <w:r>
              <w:rPr>
                <w:rFonts w:ascii="Times New Roman" w:hAnsi="Times New Roman"/>
                <w:sz w:val="24"/>
                <w:szCs w:val="24"/>
              </w:rPr>
              <w:t>Краевое государственное бюджетное учреждение здравоохранения</w:t>
            </w:r>
          </w:p>
        </w:tc>
        <w:tc>
          <w:tcPr>
            <w:tcW w:w="1125" w:type="dxa"/>
            <w:shd w:val="clear" w:color="auto" w:fill="auto"/>
            <w:textDirection w:val="lrTb"/>
            <w:vAlign w:val="bottom"/>
          </w:tcPr>
          <w:p>
            <w:pPr>
              <w:spacing w:after="0"/>
              <w:jc w:val="left"/>
            </w:pPr>
          </w:p>
        </w:tc>
        <w:tc>
          <w:tcPr>
            <w:tcW w:w="2745" w:type="dxa"/>
            <w:gridSpan w:val="2"/>
            <w:shd w:val="clear" w:color="auto" w:fill="auto"/>
            <w:textDirection w:val="lrTb"/>
            <w:vAlign w:val="bottom"/>
          </w:tcPr>
          <w:p>
            <w:pPr>
              <w:spacing w:after="0"/>
              <w:jc w:val="center"/>
            </w:pPr>
            <w:r>
              <w:rPr>
                <w:rFonts w:ascii="Times New Roman" w:hAnsi="Times New Roman"/>
                <w:sz w:val="24"/>
                <w:szCs w:val="24"/>
              </w:rPr>
              <w:t>Руководителю </w:t>
            </w: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Краевая клиническая больница</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ул. П. Железняка, 3, г. Красноярск, 660022</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Телефон: 8 (391) 226-99-97</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Факс: 8 (391) 220-16-23</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Е-mail: kkb@ medqorod. ru</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Http://www.medgorod.ru</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ОКПО 01913234</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ИНН/КПП 2465030876/246501001</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07.02.2023 г. №.181-2023</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На №_________ от ________________</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6795" w:type="dxa"/>
            <w:gridSpan w:val="3"/>
            <w:shd w:val="clear" w:color="auto" w:fill="auto"/>
            <w:textDirection w:val="lrTb"/>
            <w:vAlign w:val="bottom"/>
          </w:tcPr>
          <w:p>
            <w:pPr>
              <w:spacing w:after="0"/>
              <w:jc w:val="center"/>
            </w:pPr>
            <w:r>
              <w:rPr>
                <w:rFonts w:ascii="Times New Roman" w:hAnsi="Times New Roman"/>
                <w:sz w:val="24"/>
                <w:szCs w:val="24"/>
              </w:rPr>
              <w:t>О коммерческом предложении</w:t>
            </w: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12765" w:type="dxa"/>
            <w:gridSpan w:val="7"/>
            <w:shd w:val="clear" w:color="auto" w:fill="auto"/>
            <w:textDirection w:val="lrTb"/>
            <w:vAlign w:val="bottom"/>
          </w:tcPr>
          <w:p>
            <w:pPr>
              <w:spacing w:after="0"/>
              <w:jc w:val="center"/>
            </w:pPr>
            <w:r>
              <w:rPr>
                <w:rFonts w:ascii="Times New Roman" w:hAnsi="Times New Roman"/>
                <w:b/>
                <w:sz w:val="28"/>
                <w:szCs w:val="28"/>
              </w:rPr>
              <w:t>Уважаемые господа!</w:t>
            </w: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18315" w:type="dxa"/>
            <w:gridSpan w:val="10"/>
            <w:shd w:val="clear" w:color="auto" w:fill="auto"/>
            <w:textDirection w:val="lrTb"/>
            <w:vAlign w:val="bottom"/>
          </w:tcPr>
          <w:p>
            <w:pPr>
              <w:spacing w:after="0"/>
              <w:wordWrap w:val="1"/>
              <w:jc w:val="center"/>
            </w:pPr>
            <w:r>
              <w:rPr>
                <w:rFonts w:ascii="Times New Roman" w:hAnsi="Times New Roman"/>
                <w:sz w:val="28"/>
                <w:szCs w:val="28"/>
              </w:rPr>
              <w:t xml:space="preserve">     Прошу Вас предоставить коммерческое предложение на право поставки следующего товара или эквивалента:</w:t>
            </w: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 п/п</w:t>
            </w:r>
          </w:p>
        </w:tc>
        <w:tc>
          <w:tcPr>
            <w:tcW w:w="2535" w:type="dxa"/>
            <w:tcBorders>
              <w:top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Наименование</w:t>
            </w:r>
          </w:p>
        </w:tc>
        <w:tc>
          <w:tcPr>
            <w:tcW w:w="3315" w:type="dxa"/>
            <w:tcBorders>
              <w:top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Характеристики</w:t>
            </w:r>
          </w:p>
        </w:tc>
        <w:tc>
          <w:tcPr>
            <w:tcW w:w="1125" w:type="dxa"/>
            <w:tcBorders>
              <w:top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Ед. изм.</w:t>
            </w:r>
          </w:p>
        </w:tc>
        <w:tc>
          <w:tcPr>
            <w:tcW w:w="1275" w:type="dxa"/>
            <w:tcBorders>
              <w:top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Кол-во, шт</w:t>
            </w:r>
          </w:p>
        </w:tc>
        <w:tc>
          <w:tcPr>
            <w:tcW w:w="1470" w:type="dxa"/>
            <w:tcBorders>
              <w:top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Цена, рублей</w:t>
            </w:r>
          </w:p>
        </w:tc>
        <w:tc>
          <w:tcPr>
            <w:tcW w:w="2100" w:type="dxa"/>
            <w:tcBorders>
              <w:top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Страна происхождения</w:t>
            </w: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Остаточный срок годности</w:t>
            </w: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ОКПД2\КТРУ</w:t>
            </w: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center"/>
          </w:tcPr>
          <w:p>
            <w:pPr>
              <w:spacing w:after="0"/>
              <w:wordWrap w:val="1"/>
              <w:jc w:val="center"/>
            </w:pPr>
            <w:r>
              <w:rPr>
                <w:rFonts w:ascii="Times New Roman" w:hAnsi="Times New Roman"/>
                <w:b/>
                <w:sz w:val="24"/>
                <w:szCs w:val="24"/>
              </w:rPr>
              <w:t>Код вида МИ</w:t>
            </w: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Простыня</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Простыня 200х80 ±0,5см одноразовая нестерильная (уп.5 шт.) Простыня должна быть изготовлена из нетканого полипропиленового 4-х слойного материала технологии спанбонд-мельтблаун-мельтблаун-спанбонд плотностью не менее 60 г/м². Мягкий, легкий материал, не раздражает кожных покровов. Простыня должна иметь ровные края, во избежание отрыва частиц материала и попадания их в операционное поле. Материал простыни не должен иметь дефектов, части полотна должны соединяться друг с другом герметично, наличие швейной прострочки недопустимо. Данное наименование товара должно быть подтверждено наличием действующего регистрационного удостоверения. Наружная упаковка должна обладать высокими барьерными свойствами, иметь толщину не менее 50 мкм.</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2 000</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2</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Простыня</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Размер не менее 50*50 см.  Простынь должна  быть изготовлен из нетканого полипропиленового 4-х слойного материала технологии спанбонд-мельтблаун-мельтблаун-спанбонд плотностью не менее 42г/м</w:t>
            </w:r>
          </w:p>
          <w:p>
            <w:pPr>
              <w:spacing w:after="0"/>
              <w:wordWrap w:val="1"/>
              <w:jc w:val="center"/>
            </w:pPr>
            <w:r>
              <w:rPr>
                <w:rFonts w:ascii="Times New Roman" w:hAnsi="Times New Roman"/>
                <w:sz w:val="24"/>
                <w:szCs w:val="24"/>
              </w:rPr>
              <w:t>Упакована в индивидуальную упаковку.  На внутренней упаковке должна быть нанесена информация, содержащая артикул производителя и номер партии, срок годности, схематическое изображение изделия, с указанием названия наименование товара, данные о производителе. Пакет должен иметь поле легкого вскрытия («пил-эффект»), позволяющее вскрывать упаковку по всей ее длине, путем отделения верхней части от нижней.</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250</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3</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Халат одноразовый не стерильный</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Халат хирургический, предназначен для краткосрочных (не более 3-х часов) хирургических вмешательств с незначительным количеством жидкости.  Должен быть изготовлен из нетканого полипропиленового 4-х слойного материала технологии спанбонд-мельтблаун-мельтблаун-спанбонд плотностью не менее  25г/м². Размер 52-54, длина не менее 140 см. На спине - глубокий запах ("стерильная спина"), четыре завязки на поясе. Рукав на трикотажном манжете не менее 8 см, окантованный ворот на регулируемой застежке типа "Велькро", наружный сварной (безниточный) шов. Изготовлен из полипропиленового нетканого термоскрепленного материала, обладающего водоотталкивающими свойствами, воздухопроницаемостью, пониженным ворсоотделением и биологической устойчивостью, с поверхностной плотностью не менее 25 г/м2. Халат сложен специальным образом, обеспечивающим стерильность изделия при</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1 150</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4</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Простыня</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Простыня хирургическая 200х140 см.  Изготовлена из 4-х слойного нетканого влагоотталкивающего паропроницаемого материала плотностью  60 г/м², (спанбонд-мельтблаун-мельтблаун-спанбонд) или эквивалент.</w:t>
            </w:r>
          </w:p>
          <w:p>
            <w:pPr>
              <w:spacing w:after="0"/>
              <w:wordWrap w:val="1"/>
              <w:jc w:val="center"/>
            </w:pPr>
            <w:r>
              <w:rPr>
                <w:rFonts w:ascii="Times New Roman" w:hAnsi="Times New Roman"/>
                <w:sz w:val="24"/>
                <w:szCs w:val="24"/>
              </w:rPr>
              <w:t>Нестерильно упаковано.</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1 050</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5</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Простыня одноразовая с перфорацией в рулонах</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Простыня одноразовая с перфорацией в рулонах  №100,размер 140-200, плотность 20</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100</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6</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Нарукавник полиэтиленовый</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Нарукавник одноразовый полиэтиленовый, 40 мкм, 25x40 см, 50 пар/уп, Назначение: Для защиты одежды в химлабораториях, косметических салонах и учреждениях здравоохранения, общепите Другое: тип одноразовый Длина: 40 см Ширина: 25 см Вес: 6 гр/пара Материал: полиэтилен Количество в уп.: 50 пар</w:t>
            </w:r>
          </w:p>
          <w:p>
            <w:pPr>
              <w:spacing w:after="0"/>
              <w:wordWrap w:val="1"/>
              <w:jc w:val="center"/>
            </w:pPr>
            <w:r>
              <w:rPr>
                <w:rFonts w:ascii="Times New Roman" w:hAnsi="Times New Roman"/>
                <w:sz w:val="24"/>
                <w:szCs w:val="24"/>
              </w:rPr>
              <w:t>Плотность/Толщина: 40 мкм</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15</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7</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Халат одноразовый не стерильный</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Халат хирургический, предназначен для краткосрочных (не более 3-х часов) хирургических вмешательств с незначительным количеством жидкости.  Должен быть изготовлен из нетканого полипропиленового 4-х слойного материала технологии спанбонд-мельтблаун-мельтблаун-спанбонд плотностью не менее  25г/м². Размер 56-58, длина не менее 140 см. На спине - глубокий запах ("стерильная спина"), четыре завязки на поясе. Рукав на трикотажном манжете не менее 8 см, окантованный ворот на регулируемой застежке типа "Велькро", наружный сварной (безниточный) шов. Изготовлен из полипропиленового нетканого термоскрепленного материала, обладающего водоотталкивающими свойствами, воздухопроницаемостью, пониженным ворсоотделением и биологической устойчивостью, с поверхностной плотностью не менее 25 г/м2. Халат сложен специальным образом, обеспечивающим стерильность изделия при</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1 000</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8</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Халат хирургический нестерильный</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Одноразовая одежда для медицинского персонала в операционных. Халат хирургический нестерильный 52/54 рукав на трик.манжете. Ткань из  "дышащего" гипоаллергенного материала. В нестерильном виде. Материал спанбонд, пл. 42 г/м2. Размер 52/54. Цвет голубой </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13 000</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9</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Халат хирургический нестерильный</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Одноразовая одежда для медицинского персонала в операционных. Халат хирургический нестерильный 56/58 рукав на трик.манжете.  Ткань из  "дышащего" гипоаллергенного материала. В нестерильном виде. Материал спанбонд, пл. 42 г/м2. Размер 56/58. Цвет голубой </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2 800</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10</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Простыня</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Простыня хирургическая 210х140 см.  Изготовлена из 4-х слойного нетканого влагоотталкивающего паропроницаемого материала плотностью  60 г/м², (спанбонд-мельтблаун-мельтблаун-спанбонд) или эквивалент. Стерильно, индивидуальная упаковка.</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250</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11</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Простыня</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Простыня хирургическая 200х140 см.  Изготовлена из 4-х слойного нетканого влагоотталкивающего паропроницаемого материала плотностью  42 г/м², (спанбонд-мельтблаун-мельтблаун-спанбонд) или эквивалент.</w:t>
            </w:r>
          </w:p>
          <w:p>
            <w:pPr>
              <w:spacing w:after="0"/>
              <w:wordWrap w:val="1"/>
              <w:jc w:val="center"/>
            </w:pPr>
            <w:r>
              <w:rPr>
                <w:rFonts w:ascii="Times New Roman" w:hAnsi="Times New Roman"/>
                <w:sz w:val="24"/>
                <w:szCs w:val="24"/>
              </w:rPr>
              <w:t>Нестерильно упаковано.</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уп</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9 000</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12</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Пеленка</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Пеленка хирургическая 60х60 см. Изготовлена из 4-х слойного нетканого влагоотталкивающего паропроницаемого материала плотностью  42 г/м², (спанбонд-мельтблаун-мельтблаун-спанбонд) или эквивалент. Нестерильно упаковано.</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15 000</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13</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Фартук</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Фартук хирургический  влагонепроницаемый изготовлен из 2-х слойного влагонепроницаемого материала плотностью не менее 40 г/м². Длина – 110 см.  Нестерильно упаковано.</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15 400</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14</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Халат хирургический</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Халат хирургический. Размер 50-52. Водоотталкивающий, с окантовкой горловины и регулируемой застежкой ворота на «липучке». Изготовлен из 4-х слойного нетканого влагоотталкивающего паропроницаемого материала плотностью  42 г/м², (спанбонд-мельтблаун-мельтблаун-спанбонд) или эквивалент. Общая длина 140 см. Имеет мягкие трикотажные манжеты шириной не менее 8 см и отшивку горловины из бейки белого цвета шириной не менее7 мм. Халат сложен специальным образом для удобства асептического надевания  без дополнительной помощи стерильного персонала.  Критические зоны халата (рукава) изготовлены по бесшовной технологии методом ультразвуковой сварки. Стерильно, индивидуальная упаковка.</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1 200</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15</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Халат хирургический</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Халат хирургический. Размер 54-56. Водоотталкивающий, с окантовкой горловины и регулируемой застежкой ворота на «липучке». Изготовлен из 4-х слойного нетканого влагоотталкивающего паропроницаемого материала плотностью  42 г/м², (спанбонд-мельтблаун-мельтблаун-спанбонд) или эквивалент. Общая длина 140 см. Имеет мягкие трикотажные манжеты шириной не менее 8 см и отшивку горловины из бейки белого цвета шириной не менее7 мм. Халат сложен специальным образом для удобства асептического надевания  без дополнительной помощи стерильного персонала.  Критические зоны халата (рукава) изготовлены по бесшовной технологии методом ультразвуковой сварки. Стерильно, индивидуальная упаковка</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3 300</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0" w:hRule="auto"/>
        </w:trPr>
        <w:tc>
          <w:tcPr>
            <w:tcW w:w="945" w:type="dxa"/>
            <w:tcBorders>
              <w:top w:val="single" w:sz="5" w:space="0" w:color="auto"/>
              <w:left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16</w:t>
            </w:r>
          </w:p>
        </w:tc>
        <w:tc>
          <w:tcPr>
            <w:tcW w:w="253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Салфетка</w:t>
            </w:r>
          </w:p>
        </w:tc>
        <w:tc>
          <w:tcPr>
            <w:tcW w:w="331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Салфетка хирургическая 180х90 см впитывающая многослойная изготовлена из непроницаемой, нескользящей пленки и впитывающей прокладки из слоев целлюлозы, покрытие, перекрывающее края. Объем впитывания не менее 1200 мл. Нестерильно упаковано.</w:t>
            </w:r>
          </w:p>
        </w:tc>
        <w:tc>
          <w:tcPr>
            <w:tcW w:w="112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шт.</w:t>
            </w:r>
          </w:p>
        </w:tc>
        <w:tc>
          <w:tcPr>
            <w:tcW w:w="1275"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r>
              <w:rPr>
                <w:rFonts w:ascii="Times New Roman" w:hAnsi="Times New Roman"/>
                <w:sz w:val="24"/>
                <w:szCs w:val="24"/>
              </w:rPr>
              <w:t>2 650</w:t>
            </w:r>
          </w:p>
        </w:tc>
        <w:tc>
          <w:tcPr>
            <w:tcW w:w="147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2100" w:type="dxa"/>
            <w:tcBorders>
              <w:top w:val="single" w:sz="5" w:space="0" w:color="auto"/>
              <w:bottom w:val="single" w:sz="5" w:space="0" w:color="auto"/>
              <w:right w:val="single" w:sz="5" w:space="0" w:color="auto"/>
            </w:tcBorders>
            <w:shd w:val="clear" w:color="auto" w:fill="auto"/>
            <w:textDirection w:val="lrTb"/>
            <w:vAlign w:val="top"/>
          </w:tcPr>
          <w:p>
            <w:pPr>
              <w:spacing w:after="0"/>
              <w:wordWrap w:val="1"/>
              <w:jc w:val="center"/>
            </w:pPr>
          </w:p>
        </w:tc>
        <w:tc>
          <w:tcPr>
            <w:tcW w:w="199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650"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c>
          <w:tcPr>
            <w:tcW w:w="1905" w:type="dxa"/>
            <w:tcBorders>
              <w:top w:val="single" w:sz="5" w:space="0" w:color="auto"/>
              <w:left w:val="single" w:sz="5" w:space="0" w:color="auto"/>
              <w:bottom w:val="single" w:sz="5" w:space="0" w:color="auto"/>
              <w:right w:val="single" w:sz="5" w:space="0" w:color="auto"/>
            </w:tcBorders>
            <w:shd w:val="clear" w:color="auto" w:fill="auto"/>
            <w:textDirection w:val="lrTb"/>
            <w:vAlign w:val="bottom"/>
          </w:tcPr>
          <w:p>
            <w:pPr>
              <w:spacing w:after="0"/>
              <w:jc w:val="left"/>
            </w:pPr>
          </w:p>
        </w:tc>
      </w:tr>
      <w:tr>
        <w:trPr>
          <w:cantSplit/>
          <w:trHeight w:val="375" w:hRule="atLeast"/>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18315" w:type="dxa"/>
            <w:gridSpan w:val="10"/>
            <w:shd w:val="clear" w:color="auto" w:fill="auto"/>
            <w:textDirection w:val="lrTb"/>
            <w:vAlign w:val="bottom"/>
          </w:tcPr>
          <w:p>
            <w:pPr>
              <w:spacing w:after="0"/>
              <w:wordWrap w:val="1"/>
              <w:jc w:val="left"/>
            </w:pPr>
            <w:r>
              <w:rPr>
                <w:rFonts w:ascii="Times New Roman" w:hAnsi="Times New Roman"/>
                <w:sz w:val="28"/>
                <w:szCs w:val="28"/>
              </w:rPr>
              <w:t xml:space="preserve">       Срок поставки: с момента заключения контракта до 31.12.2023, по заявкам заказчика..</w:t>
            </w:r>
          </w:p>
        </w:tc>
      </w:tr>
      <w:tr>
        <w:trPr>
          <w:cantSplit/>
          <w:trHeight w:val="120" w:hRule="atLeast"/>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18315" w:type="dxa"/>
            <w:gridSpan w:val="10"/>
            <w:shd w:val="clear" w:color="auto" w:fill="auto"/>
            <w:textDirection w:val="lrTb"/>
            <w:vAlign w:val="bottom"/>
          </w:tcPr>
          <w:p>
            <w:pPr>
              <w:spacing w:after="0"/>
              <w:wordWrap w:val="1"/>
              <w:jc w:val="both"/>
            </w:pPr>
            <w:r>
              <w:rPr>
                <w:rFonts w:ascii="Times New Roman" w:hAnsi="Times New Roman"/>
                <w:sz w:val="28"/>
                <w:szCs w:val="28"/>
              </w:rPr>
              <w:t xml:space="preserve">       Цена должна быть указана с учетом доставки  до КГБУЗ «Краевая клиническая больница» г.Красноярск, ул. Партизана Железняка, 3. </w:t>
            </w:r>
          </w:p>
        </w:tc>
      </w:tr>
      <w:tr>
        <w:trPr>
          <w:cantSplit/>
          <w:trHeight w:val="120" w:hRule="atLeast"/>
        </w:trPr>
        <w:tc>
          <w:tcPr>
            <w:tcW w:w="945" w:type="dxa"/>
            <w:shd w:val="clear" w:color="auto" w:fill="auto"/>
            <w:textDirection w:val="lrTb"/>
            <w:vAlign w:val="bottom"/>
          </w:tcPr>
          <w:p>
            <w:pPr>
              <w:spacing w:after="0"/>
              <w:wordWrap w:val="1"/>
              <w:jc w:val="left"/>
            </w:pPr>
          </w:p>
        </w:tc>
        <w:tc>
          <w:tcPr>
            <w:tcW w:w="2535" w:type="dxa"/>
            <w:shd w:val="clear" w:color="auto" w:fill="auto"/>
            <w:textDirection w:val="lrTb"/>
            <w:vAlign w:val="bottom"/>
          </w:tcPr>
          <w:p>
            <w:pPr>
              <w:spacing w:after="0"/>
              <w:wordWrap w:val="1"/>
              <w:jc w:val="left"/>
            </w:pPr>
          </w:p>
        </w:tc>
        <w:tc>
          <w:tcPr>
            <w:tcW w:w="3315" w:type="dxa"/>
            <w:shd w:val="clear" w:color="auto" w:fill="auto"/>
            <w:textDirection w:val="lrTb"/>
            <w:vAlign w:val="bottom"/>
          </w:tcPr>
          <w:p>
            <w:pPr>
              <w:spacing w:after="0"/>
              <w:wordWrap w:val="1"/>
              <w:jc w:val="left"/>
            </w:pPr>
          </w:p>
        </w:tc>
        <w:tc>
          <w:tcPr>
            <w:tcW w:w="1125" w:type="dxa"/>
            <w:shd w:val="clear" w:color="auto" w:fill="auto"/>
            <w:textDirection w:val="lrTb"/>
            <w:vAlign w:val="bottom"/>
          </w:tcPr>
          <w:p>
            <w:pPr>
              <w:spacing w:after="0"/>
              <w:wordWrap w:val="1"/>
              <w:jc w:val="left"/>
            </w:pPr>
          </w:p>
        </w:tc>
        <w:tc>
          <w:tcPr>
            <w:tcW w:w="1275" w:type="dxa"/>
            <w:shd w:val="clear" w:color="auto" w:fill="auto"/>
            <w:textDirection w:val="lrTb"/>
            <w:vAlign w:val="bottom"/>
          </w:tcPr>
          <w:p>
            <w:pPr>
              <w:spacing w:after="0"/>
              <w:wordWrap w:val="1"/>
              <w:jc w:val="left"/>
            </w:pPr>
          </w:p>
        </w:tc>
        <w:tc>
          <w:tcPr>
            <w:tcW w:w="1470" w:type="dxa"/>
            <w:shd w:val="clear" w:color="auto" w:fill="auto"/>
            <w:textDirection w:val="lrTb"/>
            <w:vAlign w:val="bottom"/>
          </w:tcPr>
          <w:p>
            <w:pPr>
              <w:spacing w:after="0"/>
              <w:wordWrap w:val="1"/>
              <w:jc w:val="left"/>
            </w:pPr>
          </w:p>
        </w:tc>
        <w:tc>
          <w:tcPr>
            <w:tcW w:w="2100" w:type="dxa"/>
            <w:shd w:val="clear" w:color="auto" w:fill="auto"/>
            <w:textDirection w:val="lrTb"/>
            <w:vAlign w:val="bottom"/>
          </w:tcPr>
          <w:p>
            <w:pPr>
              <w:spacing w:after="0"/>
              <w:wordWrap w:val="1"/>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18315" w:type="dxa"/>
            <w:gridSpan w:val="10"/>
            <w:shd w:val="clear" w:color="auto" w:fill="auto"/>
            <w:textDirection w:val="lrTb"/>
            <w:vAlign w:val="bottom"/>
          </w:tcPr>
          <w:p>
            <w:pPr>
              <w:spacing w:after="0"/>
              <w:wordWrap w:val="1"/>
              <w:jc w:val="both"/>
            </w:pPr>
            <w:r>
              <w:rPr>
                <w:rFonts w:ascii="Times New Roman" w:hAnsi="Times New Roman"/>
                <w:sz w:val="28"/>
                <w:szCs w:val="28"/>
              </w:rPr>
              <w:t xml:space="preserve">       Информацию необходимо направить по факсу +7 (391) 220-16-23, электронной почте zakupki@medgorod.ru  или по адресу г. Красноярск, ул. Партизана Железняка 3-б, отдел обеспечения государственных закупок, тел. 226-99-92, 226-99-91.</w:t>
            </w:r>
          </w:p>
        </w:tc>
      </w:tr>
      <w:tr>
        <w:trPr>
          <w:cantSplit/>
          <w:trHeight w:val="165" w:hRule="atLeast"/>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18315" w:type="dxa"/>
            <w:gridSpan w:val="10"/>
            <w:shd w:val="clear" w:color="auto" w:fill="auto"/>
            <w:textDirection w:val="lrTb"/>
            <w:vAlign w:val="bottom"/>
          </w:tcPr>
          <w:p>
            <w:pPr>
              <w:spacing w:after="0"/>
              <w:jc w:val="left"/>
            </w:pPr>
            <w:r>
              <w:rPr>
                <w:rFonts w:ascii="Times New Roman" w:hAnsi="Times New Roman"/>
                <w:sz w:val="28"/>
                <w:szCs w:val="28"/>
              </w:rPr>
              <w:t xml:space="preserve">       Предложения принимаются в срок до 13.02.2023 17:00:00 по местному времени. </w:t>
            </w:r>
          </w:p>
        </w:tc>
      </w:tr>
      <w:tr>
        <w:trPr>
          <w:cantSplit/>
          <w:trHeight w:val="0" w:hRule="auto"/>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18315" w:type="dxa"/>
            <w:gridSpan w:val="10"/>
            <w:shd w:val="clear" w:color="auto" w:fill="auto"/>
            <w:textDirection w:val="lrTb"/>
            <w:vAlign w:val="bottom"/>
          </w:tcPr>
          <w:p>
            <w:pPr>
              <w:spacing w:after="0"/>
              <w:jc w:val="left"/>
            </w:pPr>
            <w:r>
              <w:rPr>
                <w:rFonts w:ascii="Times New Roman" w:hAnsi="Times New Roman"/>
                <w:sz w:val="28"/>
                <w:szCs w:val="28"/>
              </w:rPr>
              <w:t>Руководитель контрактной службы________________________/Алешечкина Е.А./</w:t>
            </w:r>
          </w:p>
        </w:tc>
      </w:tr>
      <w:tr>
        <w:trPr>
          <w:cantSplit/>
          <w:trHeight w:val="0" w:hRule="auto"/>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945" w:type="dxa"/>
            <w:shd w:val="clear" w:color="auto" w:fill="auto"/>
            <w:textDirection w:val="lrTb"/>
            <w:vAlign w:val="bottom"/>
          </w:tcPr>
          <w:p>
            <w:pPr>
              <w:spacing w:after="0"/>
              <w:jc w:val="left"/>
            </w:pPr>
          </w:p>
        </w:tc>
        <w:tc>
          <w:tcPr>
            <w:tcW w:w="2535" w:type="dxa"/>
            <w:shd w:val="clear" w:color="auto" w:fill="auto"/>
            <w:textDirection w:val="lrTb"/>
            <w:vAlign w:val="bottom"/>
          </w:tcPr>
          <w:p>
            <w:pPr>
              <w:spacing w:after="0"/>
              <w:jc w:val="left"/>
            </w:pPr>
          </w:p>
        </w:tc>
        <w:tc>
          <w:tcPr>
            <w:tcW w:w="3315" w:type="dxa"/>
            <w:shd w:val="clear" w:color="auto" w:fill="auto"/>
            <w:textDirection w:val="lrTb"/>
            <w:vAlign w:val="bottom"/>
          </w:tcPr>
          <w:p>
            <w:pPr>
              <w:spacing w:after="0"/>
              <w:jc w:val="left"/>
            </w:pPr>
          </w:p>
        </w:tc>
        <w:tc>
          <w:tcPr>
            <w:tcW w:w="1125" w:type="dxa"/>
            <w:shd w:val="clear" w:color="auto" w:fill="auto"/>
            <w:textDirection w:val="lrTb"/>
            <w:vAlign w:val="bottom"/>
          </w:tcPr>
          <w:p>
            <w:pPr>
              <w:spacing w:after="0"/>
              <w:jc w:val="left"/>
            </w:pPr>
          </w:p>
        </w:tc>
        <w:tc>
          <w:tcPr>
            <w:tcW w:w="1275" w:type="dxa"/>
            <w:shd w:val="clear" w:color="auto" w:fill="auto"/>
            <w:textDirection w:val="lrTb"/>
            <w:vAlign w:val="bottom"/>
          </w:tcPr>
          <w:p>
            <w:pPr>
              <w:spacing w:after="0"/>
              <w:jc w:val="left"/>
            </w:pPr>
          </w:p>
        </w:tc>
        <w:tc>
          <w:tcPr>
            <w:tcW w:w="1470" w:type="dxa"/>
            <w:shd w:val="clear" w:color="auto" w:fill="auto"/>
            <w:textDirection w:val="lrTb"/>
            <w:vAlign w:val="bottom"/>
          </w:tcPr>
          <w:p>
            <w:pPr>
              <w:spacing w:after="0"/>
              <w:jc w:val="left"/>
            </w:pPr>
          </w:p>
        </w:tc>
        <w:tc>
          <w:tcPr>
            <w:tcW w:w="2100" w:type="dxa"/>
            <w:shd w:val="clear" w:color="auto" w:fill="auto"/>
            <w:textDirection w:val="lrTb"/>
            <w:vAlign w:val="bottom"/>
          </w:tcPr>
          <w:p>
            <w:pPr>
              <w:spacing w:after="0"/>
              <w:jc w:val="left"/>
            </w:pPr>
          </w:p>
        </w:tc>
        <w:tc>
          <w:tcPr>
            <w:tcW w:w="1995" w:type="dxa"/>
            <w:shd w:val="clear" w:color="auto" w:fill="auto"/>
            <w:textDirection w:val="lrTb"/>
            <w:vAlign w:val="bottom"/>
          </w:tcPr>
          <w:p>
            <w:pPr>
              <w:spacing w:after="0"/>
              <w:jc w:val="left"/>
            </w:pPr>
          </w:p>
        </w:tc>
        <w:tc>
          <w:tcPr>
            <w:tcW w:w="1650" w:type="dxa"/>
            <w:shd w:val="clear" w:color="auto" w:fill="auto"/>
            <w:textDirection w:val="lrTb"/>
            <w:vAlign w:val="bottom"/>
          </w:tcPr>
          <w:p>
            <w:pPr>
              <w:spacing w:after="0"/>
              <w:jc w:val="left"/>
            </w:pPr>
          </w:p>
        </w:tc>
        <w:tc>
          <w:tcPr>
            <w:tcW w:w="1905" w:type="dxa"/>
            <w:shd w:val="clear" w:color="auto" w:fill="auto"/>
            <w:textDirection w:val="lrTb"/>
            <w:vAlign w:val="bottom"/>
          </w:tcPr>
          <w:p>
            <w:pPr>
              <w:spacing w:after="0"/>
              <w:jc w:val="left"/>
            </w:pPr>
          </w:p>
        </w:tc>
      </w:tr>
      <w:tr>
        <w:trPr>
          <w:cantSplit/>
          <w:trHeight w:val="0" w:hRule="auto"/>
        </w:trPr>
        <w:tc>
          <w:tcPr>
            <w:tcW w:w="18315" w:type="dxa"/>
            <w:gridSpan w:val="10"/>
            <w:shd w:val="clear" w:color="auto" w:fill="auto"/>
            <w:textDirection w:val="lrTb"/>
            <w:vAlign w:val="bottom"/>
          </w:tcPr>
          <w:p>
            <w:pPr>
              <w:spacing w:after="0"/>
              <w:jc w:val="left"/>
            </w:pPr>
            <w:r>
              <w:rPr>
                <w:rFonts w:ascii="Times New Roman" w:hAnsi="Times New Roman"/>
                <w:sz w:val="28"/>
                <w:szCs w:val="28"/>
              </w:rPr>
              <w:t>Исполнитель:</w:t>
            </w:r>
          </w:p>
        </w:tc>
      </w:tr>
      <w:tr>
        <w:trPr>
          <w:cantSplit/>
          <w:trHeight w:val="0" w:hRule="auto"/>
        </w:trPr>
        <w:tc>
          <w:tcPr>
            <w:tcW w:w="18315" w:type="dxa"/>
            <w:gridSpan w:val="10"/>
            <w:shd w:val="clear" w:color="auto" w:fill="auto"/>
            <w:textDirection w:val="lrTb"/>
            <w:vAlign w:val="bottom"/>
          </w:tcPr>
          <w:p>
            <w:pPr>
              <w:spacing w:after="0"/>
              <w:jc w:val="left"/>
            </w:pPr>
            <w:r>
              <w:rPr>
                <w:rFonts w:ascii="Times New Roman" w:hAnsi="Times New Roman"/>
                <w:sz w:val="28"/>
                <w:szCs w:val="28"/>
              </w:rPr>
              <w:t>Нефедова Светлана Леонидовна, тел. </w:t>
            </w: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