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7B681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 w:rsidRPr="00A47D6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Pr="00A47D64" w:rsidRDefault="00A47D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7D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szCs w:val="16"/>
                <w:lang w:val="en-US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Pr="00A47D64" w:rsidRDefault="007B6815">
            <w:pPr>
              <w:rPr>
                <w:szCs w:val="16"/>
                <w:lang w:val="en-US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 w:rsidP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№.1789-2022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B6815" w:rsidRDefault="00A47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разъемная Ду-75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РР Ду-75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Ду-75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Ду-32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32 мм, без резьбы,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применение холодное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водоснабжение.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Сварочный аппарат для полипропиленовых труб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характеристики: Диаметры свариваемых труб не менее чем от 16 до 50мм. Мощность не менее 1500 Вт. Напряжение 220 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Частота 50 Гц. Рабочая температура не менее 270оС. Нагреватель из нержавеющего материала с возможностью одновременной установки сразу двух нагревательных насадок. Индикатор регулировки термостата не менее чем от 50 до 320оС. Кабель питания длиной не менее </w:t>
            </w:r>
            <w:r>
              <w:rPr>
                <w:rFonts w:ascii="Times New Roman" w:hAnsi="Times New Roman"/>
                <w:sz w:val="24"/>
                <w:szCs w:val="24"/>
              </w:rPr>
              <w:t>160 см. Уровень защиты не менее IP 44. Вес не более 5,0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Комплектность: Насадки для сварочного аппарата с тефлоновым покрытием диаметром 20, 25, 32, 40 мм. Ножницы для резки труб диаметром не менее чем от 16 до 42 мм. Крестовидная подставка для установк</w:t>
            </w:r>
            <w:r>
              <w:rPr>
                <w:rFonts w:ascii="Times New Roman" w:hAnsi="Times New Roman"/>
                <w:sz w:val="24"/>
                <w:szCs w:val="24"/>
              </w:rPr>
              <w:t>и сварочного аппарата при выполнении сварочных работ. Уровень, для определения горизонтального наклона свариваемого трубопровода. Ключи, для крепления сварочных насадок. Рулетка длиной 2 или 4 метра. Металлический ящик для транспортировки сварочного аппара</w:t>
            </w:r>
            <w:r>
              <w:rPr>
                <w:rFonts w:ascii="Times New Roman" w:hAnsi="Times New Roman"/>
                <w:sz w:val="24"/>
                <w:szCs w:val="24"/>
              </w:rPr>
              <w:t>та."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A47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B6815" w:rsidRDefault="007B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</w:t>
            </w:r>
            <w:r>
              <w:rPr>
                <w:rFonts w:ascii="Times New Roman" w:hAnsi="Times New Roman"/>
                <w:szCs w:val="16"/>
              </w:rPr>
              <w:t>цены единицы товара, работы, услуги при осуществлении закупок медицинских изделий")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B6815" w:rsidRDefault="007B6815">
            <w:pPr>
              <w:rPr>
                <w:szCs w:val="16"/>
              </w:rPr>
            </w:pP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7B681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7B6815" w:rsidRDefault="00A47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A47D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815"/>
    <w:rsid w:val="007B6815"/>
    <w:rsid w:val="00A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CA3"/>
  <w15:docId w15:val="{B225E8F8-2058-4F08-B5EC-834A027A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2022-12-09T07:20:00Z</dcterms:created>
  <dcterms:modified xsi:type="dcterms:W3CDTF">2022-12-09T07:21:00Z</dcterms:modified>
</cp:coreProperties>
</file>