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 w:rsidRPr="00F908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Pr="00F90819" w:rsidRDefault="00F9081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0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08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0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08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0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08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20B83" w:rsidRPr="00F90819" w:rsidRDefault="00420B8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20B83" w:rsidRPr="00F90819" w:rsidRDefault="00420B8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20B83" w:rsidRPr="00F90819" w:rsidRDefault="00420B8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20B83" w:rsidRPr="00F90819" w:rsidRDefault="00420B8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20B83" w:rsidRPr="00F90819" w:rsidRDefault="00420B8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20B83" w:rsidRPr="00F90819" w:rsidRDefault="00420B8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20B83" w:rsidRPr="00F90819" w:rsidRDefault="00420B83">
            <w:pPr>
              <w:rPr>
                <w:lang w:val="en-US"/>
              </w:rPr>
            </w:pP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 w:rsidP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С4 (229х324мм)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С4 предназначен для рассылки документов. Формат С4 (229х324 мм). Наличие адресных указателей: «Куда», «Кому», «От кого», «Откуда». Отрывная полоса типа STRIP.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С5 (162х229 мм), наличие адресных указателей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С5 предназначен для рассылки писем, открыток, документов и т.п. Формат С5 (162х229 мм). Наличие адресных указателей: «Куда», «Кому», «От кого», «Откуда». Отрывн</w:t>
            </w:r>
            <w:r>
              <w:rPr>
                <w:rFonts w:ascii="Times New Roman" w:hAnsi="Times New Roman"/>
                <w:sz w:val="24"/>
                <w:szCs w:val="24"/>
              </w:rPr>
              <w:t>ая полоса типа STRIP.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Конверт почтовый формата С5 (162х229 мм). Правое окно для размещения адреса.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почтовый формата С5 предназначен для рассылки писем, открыток, документов и т.п. Формат С5 (162х229 мм). Белый, без надписей. </w:t>
            </w:r>
            <w:r>
              <w:rPr>
                <w:rFonts w:ascii="Times New Roman" w:hAnsi="Times New Roman"/>
                <w:sz w:val="24"/>
                <w:szCs w:val="24"/>
              </w:rPr>
              <w:t>Отрывная полоса типа STRIP. Правое окно для размещения адреса.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Конверт Е65 (110х220 мм), наличие адресных указателей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Е65. Конверт почтовый предназначен для рассылки писем, открыток и т.п. Формат Е65 (110х220 мм). Наличие адресных </w:t>
            </w:r>
            <w:r>
              <w:rPr>
                <w:rFonts w:ascii="Times New Roman" w:hAnsi="Times New Roman"/>
                <w:sz w:val="24"/>
                <w:szCs w:val="24"/>
              </w:rPr>
              <w:t>указателей: «Куда», «Кому», «От кого», «Откуда». Отрывная полоса типа STRIP.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Конверт Е65 (110х220 мм), правое окно для размещения адреса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Конверт Е65 (110х220 мм). Белый, без надписей. Отрывная полоса типа STRIP. Правое окно для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адреса. Размер окна 45х90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F908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0B83" w:rsidRDefault="00420B8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0B83" w:rsidRDefault="00F9081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0B83" w:rsidRDefault="00F908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0B83" w:rsidRDefault="00F908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0B83" w:rsidRDefault="00F9081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0B83" w:rsidRDefault="00F9081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0B83" w:rsidRDefault="00420B83"/>
        </w:tc>
        <w:tc>
          <w:tcPr>
            <w:tcW w:w="2535" w:type="dxa"/>
            <w:shd w:val="clear" w:color="auto" w:fill="auto"/>
            <w:vAlign w:val="bottom"/>
          </w:tcPr>
          <w:p w:rsidR="00420B83" w:rsidRDefault="00420B83"/>
        </w:tc>
        <w:tc>
          <w:tcPr>
            <w:tcW w:w="3315" w:type="dxa"/>
            <w:shd w:val="clear" w:color="auto" w:fill="auto"/>
            <w:vAlign w:val="bottom"/>
          </w:tcPr>
          <w:p w:rsidR="00420B83" w:rsidRDefault="00420B83"/>
        </w:tc>
        <w:tc>
          <w:tcPr>
            <w:tcW w:w="1125" w:type="dxa"/>
            <w:shd w:val="clear" w:color="auto" w:fill="auto"/>
            <w:vAlign w:val="bottom"/>
          </w:tcPr>
          <w:p w:rsidR="00420B83" w:rsidRDefault="00420B83"/>
        </w:tc>
        <w:tc>
          <w:tcPr>
            <w:tcW w:w="1275" w:type="dxa"/>
            <w:shd w:val="clear" w:color="auto" w:fill="auto"/>
            <w:vAlign w:val="bottom"/>
          </w:tcPr>
          <w:p w:rsidR="00420B83" w:rsidRDefault="00420B83"/>
        </w:tc>
        <w:tc>
          <w:tcPr>
            <w:tcW w:w="1470" w:type="dxa"/>
            <w:shd w:val="clear" w:color="auto" w:fill="auto"/>
            <w:vAlign w:val="bottom"/>
          </w:tcPr>
          <w:p w:rsidR="00420B83" w:rsidRDefault="00420B83"/>
        </w:tc>
        <w:tc>
          <w:tcPr>
            <w:tcW w:w="2100" w:type="dxa"/>
            <w:shd w:val="clear" w:color="auto" w:fill="auto"/>
            <w:vAlign w:val="bottom"/>
          </w:tcPr>
          <w:p w:rsidR="00420B83" w:rsidRDefault="00420B83"/>
        </w:tc>
        <w:tc>
          <w:tcPr>
            <w:tcW w:w="1995" w:type="dxa"/>
            <w:shd w:val="clear" w:color="auto" w:fill="auto"/>
            <w:vAlign w:val="bottom"/>
          </w:tcPr>
          <w:p w:rsidR="00420B83" w:rsidRDefault="00420B83"/>
        </w:tc>
        <w:tc>
          <w:tcPr>
            <w:tcW w:w="1650" w:type="dxa"/>
            <w:shd w:val="clear" w:color="auto" w:fill="auto"/>
            <w:vAlign w:val="bottom"/>
          </w:tcPr>
          <w:p w:rsidR="00420B83" w:rsidRDefault="00420B83"/>
        </w:tc>
        <w:tc>
          <w:tcPr>
            <w:tcW w:w="1905" w:type="dxa"/>
            <w:shd w:val="clear" w:color="auto" w:fill="auto"/>
            <w:vAlign w:val="bottom"/>
          </w:tcPr>
          <w:p w:rsidR="00420B83" w:rsidRDefault="00420B83"/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0B83" w:rsidRDefault="00F9081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0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0B83" w:rsidRDefault="00F90819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F9081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B83"/>
    <w:rsid w:val="00420B83"/>
    <w:rsid w:val="00F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5D158-1699-4E0E-BE24-326A4FA3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2023-02-07T09:05:00Z</dcterms:created>
  <dcterms:modified xsi:type="dcterms:W3CDTF">2023-02-07T09:05:00Z</dcterms:modified>
</cp:coreProperties>
</file>