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2742"/>
        <w:gridCol w:w="2996"/>
        <w:gridCol w:w="440"/>
        <w:gridCol w:w="593"/>
        <w:gridCol w:w="795"/>
        <w:gridCol w:w="1585"/>
        <w:gridCol w:w="1290"/>
      </w:tblGrid>
      <w:tr w:rsidR="00792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</w:tr>
      <w:tr w:rsidR="00792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</w:tr>
      <w:tr w:rsidR="00792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</w:tr>
      <w:tr w:rsidR="00792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</w:tr>
      <w:tr w:rsidR="00792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</w:tr>
      <w:tr w:rsidR="00792D35" w:rsidRPr="00F95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2D35" w:rsidRPr="00F95C71" w:rsidRDefault="001812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95C71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2D35" w:rsidRPr="00F95C71" w:rsidRDefault="00792D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2D35" w:rsidRPr="00F95C71" w:rsidRDefault="00792D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2D35" w:rsidRPr="00F95C71" w:rsidRDefault="00792D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2D35" w:rsidRPr="00F95C71" w:rsidRDefault="00792D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2D35" w:rsidRPr="00F95C71" w:rsidRDefault="00792D35">
            <w:pPr>
              <w:rPr>
                <w:szCs w:val="16"/>
                <w:lang w:val="en-US"/>
              </w:rPr>
            </w:pPr>
          </w:p>
        </w:tc>
      </w:tr>
      <w:tr w:rsidR="00792D35" w:rsidRPr="00F95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2D35" w:rsidRPr="00F95C71" w:rsidRDefault="001812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5C7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2D35" w:rsidRPr="00F95C71" w:rsidRDefault="00792D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2D35" w:rsidRPr="00F95C71" w:rsidRDefault="00792D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2D35" w:rsidRPr="00F95C71" w:rsidRDefault="00792D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2D35" w:rsidRPr="00F95C71" w:rsidRDefault="00792D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2D35" w:rsidRPr="00F95C71" w:rsidRDefault="00792D35">
            <w:pPr>
              <w:rPr>
                <w:szCs w:val="16"/>
                <w:lang w:val="en-US"/>
              </w:rPr>
            </w:pPr>
          </w:p>
        </w:tc>
      </w:tr>
      <w:tr w:rsidR="00792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</w:tr>
      <w:tr w:rsidR="00792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</w:tr>
      <w:tr w:rsidR="00792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2D35" w:rsidRDefault="00F95C71" w:rsidP="00F95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</w:t>
            </w:r>
            <w:r w:rsidR="0018126D">
              <w:rPr>
                <w:rFonts w:ascii="Times New Roman" w:hAnsi="Times New Roman"/>
                <w:sz w:val="24"/>
                <w:szCs w:val="24"/>
              </w:rPr>
              <w:t>2</w:t>
            </w:r>
            <w:r w:rsidR="0018126D">
              <w:rPr>
                <w:rFonts w:ascii="Times New Roman" w:hAnsi="Times New Roman"/>
                <w:sz w:val="24"/>
                <w:szCs w:val="24"/>
              </w:rPr>
              <w:t>020 г. №.</w:t>
            </w:r>
            <w:r>
              <w:rPr>
                <w:rFonts w:ascii="Times New Roman" w:hAnsi="Times New Roman"/>
                <w:sz w:val="24"/>
                <w:szCs w:val="24"/>
              </w:rPr>
              <w:t>167-2020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</w:tr>
      <w:tr w:rsidR="00792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</w:tr>
      <w:tr w:rsidR="00792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</w:tr>
      <w:tr w:rsidR="00792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</w:tr>
      <w:tr w:rsidR="00792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</w:tr>
      <w:tr w:rsidR="00792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92D35" w:rsidRDefault="001812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</w:tr>
      <w:tr w:rsidR="00792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92D35" w:rsidRDefault="00181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92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2D35" w:rsidRDefault="00181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2D35" w:rsidRDefault="00181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2D35" w:rsidRDefault="00181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2D35" w:rsidRDefault="00181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2D35" w:rsidRDefault="00181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2D35" w:rsidRDefault="00181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2D35" w:rsidRDefault="00181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2D35" w:rsidRDefault="00181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92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Интродьюсер разрывной (для пункционного введения электрода в </w:t>
            </w:r>
            <w:r>
              <w:rPr>
                <w:rFonts w:ascii="Times New Roman" w:hAnsi="Times New Roman"/>
                <w:sz w:val="24"/>
                <w:szCs w:val="24"/>
              </w:rPr>
              <w:t>вену)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Интродьюсер разрывной 9F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792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792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</w:tr>
      <w:tr w:rsidR="00792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Интродьюсер разрывной VIK7S1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Интродьюсер разрывной размер 7 Fr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792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792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</w:tr>
      <w:tr w:rsidR="00792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биполярный постоянный для имплантируемых электрокардиостимуляторов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эндокардиальный биполярный постоянный предсердный </w:t>
            </w:r>
            <w:r>
              <w:rPr>
                <w:rFonts w:ascii="Times New Roman" w:hAnsi="Times New Roman"/>
                <w:sz w:val="24"/>
                <w:szCs w:val="24"/>
              </w:rPr>
              <w:t>стероидный с пассивной  фиксацией. Полярность:  биполярный. Фиксация: пассивная. Материал катода: платина. Покрытие катода: оксид иридия. Материал анода: титан. Покрытие анода: оксид иридия. Расстояние между катодом и анодом: 12 мм. Изолятор: силиконовая р</w:t>
            </w:r>
            <w:r>
              <w:rPr>
                <w:rFonts w:ascii="Times New Roman" w:hAnsi="Times New Roman"/>
                <w:sz w:val="24"/>
                <w:szCs w:val="24"/>
              </w:rPr>
              <w:t>езина. Длина электрода: 53 см.  Стандарт коннектора: IS-1 Bi (3,2). Лекарственное покрытие: Стероид – дексаметазон, 0,65 мг. Максимальный диаметр: 8,5 Fr.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792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792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</w:tr>
      <w:tr w:rsidR="00792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биполярный постоянный для имплантируемых электрокардиостимуляторов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эндокардиальный биполярный желудочковый стероидный пассивной фиксации. Полярность: биполярный. Фиксация: пассивная. Материал катода: платина. Покрытие катода: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оксид иридия. Материал анода: титан. Покрытие анода: оксид иридия. Расстояние между катодом и ано</w:t>
            </w:r>
            <w:r>
              <w:rPr>
                <w:rFonts w:ascii="Times New Roman" w:hAnsi="Times New Roman"/>
                <w:sz w:val="24"/>
                <w:szCs w:val="24"/>
              </w:rPr>
              <w:t>дом: 12 мм. Изолятор: силиконовая резина. Длина электрода: 58 см. Стандарт коннектора: IS-1 Bi (3,2). Лекарственное покрытие: дексаметазон, 0,65 мг. Максимальный диаметр: 8,5 Fr.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792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792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</w:tr>
      <w:tr w:rsidR="00792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кардиостимуляции CapSure Fix Novus 5076-52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Эндокардиальный стимуляционный электрод со стероидным наполнителем; биполярный; активная фиксация в предсердии; площадь поверхности вкручивающегося элемента – не более 4.2 мм2. Площадь поверхности кольца электрода - не более 22 мм2, расстояние от кончика д</w:t>
            </w:r>
            <w:r>
              <w:rPr>
                <w:rFonts w:ascii="Times New Roman" w:hAnsi="Times New Roman"/>
                <w:sz w:val="24"/>
                <w:szCs w:val="24"/>
              </w:rPr>
              <w:t>о кольца – не более 10 мм, силиконовая изоляция; диаметр не более 6,1 Fr (2.0мм); длина не более 52 см; коннектор IS-1 BI; Стилеты в комплекте. Стерильная упаковка, количество в упаковке: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792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792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</w:tr>
      <w:tr w:rsidR="00792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кардиостимуляции CapSure Fix Novus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5076-58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Эндокардиальный стимуляционный электрод со стероидным наполнителем; биполярный; активная фиксация в желудочке; площадь поверхности вкручивающегося элемента – не более 4.2 мм2. Площадь поверхности кольца электрода - не более 22 мм2, расстояние от </w:t>
            </w:r>
            <w:r>
              <w:rPr>
                <w:rFonts w:ascii="Times New Roman" w:hAnsi="Times New Roman"/>
                <w:sz w:val="24"/>
                <w:szCs w:val="24"/>
              </w:rPr>
              <w:t>кончика до кольца – не более 10 мм, силиконовая изоляция; диаметр не более 6,1 Fr (2.0мм); длина не более 58 см; коннектор IS-1 BI; Стилеты в комплекте. Стерильная упаковка, количество в упаковке: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792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792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</w:tr>
      <w:tr w:rsidR="00792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Электрокардиостимулятор двухкамерный </w:t>
            </w:r>
            <w:r>
              <w:rPr>
                <w:rFonts w:ascii="Times New Roman" w:hAnsi="Times New Roman"/>
                <w:sz w:val="24"/>
                <w:szCs w:val="24"/>
              </w:rPr>
              <w:t>имплантируемый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Режимы стимуляции: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AAIR&lt;-&gt;DDDR, AAI&lt;-&gt;DDD, DDDR, DDD, DDIR, DDI, DVIR, DVI, DOOR, DOO, VDD, VVIR, VDIR, VVI, VDI, VVT, VOOR, VOO, AAIR, ADIR, AAI, ADI, AAT, AOOR, AOO, ODO, OVO, OAO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частота отслеживания: 210 уд\мин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Максимальная </w:t>
            </w:r>
            <w:r>
              <w:rPr>
                <w:rFonts w:ascii="Times New Roman" w:hAnsi="Times New Roman"/>
                <w:sz w:val="24"/>
                <w:szCs w:val="24"/>
              </w:rPr>
              <w:t>частота с сенсора: 180 уд\мин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амплитуда импульса: 7,5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 поиска собственного АВ-проведения с увеличением АВ-задержки до 600 мс: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автоматического переключения режимов стимуляции с AAI(R) на DDD(R) с допустимым пропуском о</w:t>
            </w:r>
            <w:r>
              <w:rPr>
                <w:rFonts w:ascii="Times New Roman" w:hAnsi="Times New Roman"/>
                <w:sz w:val="24"/>
                <w:szCs w:val="24"/>
              </w:rPr>
              <w:t>дного желудочкового события: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Переключение на режим стимуляции без отслеживания ритма предсердий (DDIR) в случае пароксизма предсердной тахикардии: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Разъем IS-1 уни- и биполярный; полярность стимуляции/чувствительности: моно/биполярные.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</w:t>
            </w:r>
            <w:r>
              <w:rPr>
                <w:rFonts w:ascii="Times New Roman" w:hAnsi="Times New Roman"/>
                <w:sz w:val="24"/>
                <w:szCs w:val="24"/>
              </w:rPr>
              <w:t>тно-адаптивный АВ-интервал (SAV/PAV) с раздельным программированием частоты старта/остановки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Автоматические функции: автоматический ПЖПРП 500 мс; автоматическое управление захватом предсердий и желудочков; автоматический контроль  импеданса и полярности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имуляции в предсердии и желудочке; автоматический поиск собственного АВ-проведения с целью снижения нежелательной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стимуляции желудочков (с увеличением интервалов SAV/PAV до 600 мс; автоматическая детекция имплантации; автоматическое определение амплитуды с</w:t>
            </w:r>
            <w:r>
              <w:rPr>
                <w:rFonts w:ascii="Times New Roman" w:hAnsi="Times New Roman"/>
                <w:sz w:val="24"/>
                <w:szCs w:val="24"/>
              </w:rPr>
              <w:t>игналов собственной электрической активности сердца и адаптация уровня чувствительности. Возможность автоматической настройки двух независимых зон частотной адаптации, наличие телеметрии. Автоматическое переключение режима стимуляции без отслеживания предс</w:t>
            </w:r>
            <w:r>
              <w:rPr>
                <w:rFonts w:ascii="Times New Roman" w:hAnsi="Times New Roman"/>
                <w:sz w:val="24"/>
                <w:szCs w:val="24"/>
              </w:rPr>
              <w:t>ердий во время приступа предсердной тахикардии. Функция сна, однокамерного гистерезиса, дополнительные функции безопасности пациента: безопасная стимуляция желудочков, ответ на экстрасистолию; защита от индуцированной ЭКС тахикардии. Возможность раздельног</w:t>
            </w:r>
            <w:r>
              <w:rPr>
                <w:rFonts w:ascii="Times New Roman" w:hAnsi="Times New Roman"/>
                <w:sz w:val="24"/>
                <w:szCs w:val="24"/>
              </w:rPr>
              <w:t>о программирования собственной и стимулированной АВ-задержки.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Диагностические функции: диагностические данные ежедневного тренда тяжести ПТ/ФП за последние 6 месяцев; гистограмма частоты; гистограмма АВ-проведения; гистограмма режима поиска собственного АВ</w:t>
            </w:r>
            <w:r>
              <w:rPr>
                <w:rFonts w:ascii="Times New Roman" w:hAnsi="Times New Roman"/>
                <w:sz w:val="24"/>
                <w:szCs w:val="24"/>
              </w:rPr>
              <w:t>-проведения; профиль частоты отслеживания сенсором; адаптация под ежедневную активность пациента; счетчик эпизодов высокой ЧСС с записью ЭГМ 48 секунд; возможность записи ЭГМ 16 эпизодов; монитор электрода с автопереключением полярности.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демонс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о пациенте, состояния ЭКС и электродов на одном экране. Возможность предоставления рекомендаций по оптимальному подбору режимов стимуляции на основе данных о состоянии пациента.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Тестирование в автоматическом и мануальном режимах продолжит</w:t>
            </w:r>
            <w:r>
              <w:rPr>
                <w:rFonts w:ascii="Times New Roman" w:hAnsi="Times New Roman"/>
                <w:sz w:val="24"/>
                <w:szCs w:val="24"/>
              </w:rPr>
              <w:t>ельности и амплитуды импульса, порога стимуляции, собственного ритма, теста с  физической нагрузкой.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распечатки данных на листе А4, сохранения на диске.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Интерфейс и отчеты устройства на русском языке.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(мм): 44,7 x 47,9 x 7,5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Масса (г): </w:t>
            </w:r>
            <w:r>
              <w:rPr>
                <w:rFonts w:ascii="Times New Roman" w:hAnsi="Times New Roman"/>
                <w:sz w:val="24"/>
                <w:szCs w:val="24"/>
              </w:rPr>
              <w:t>27,1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Коннектор: IS-1 BI или UNI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792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792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</w:tr>
      <w:tr w:rsidR="00792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Электрокардиостимулятор двухкамерный имплантируемый тип DDD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Механические 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Модель E50A1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Размер, ВхШхД, мм 44,7 х 47,9 х 7,5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г 27,1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Объем, см3 12,1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Коннектор IS-1 BI или UNI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Рентгеноконтрастная идентификация VG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Батарея Тип Литий-йодная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2,8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Предполагаемая средняя емкость 1,3 А/ч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Без функции Reduced VP™+ 11,3 года*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функцией Reduced VP™+ 12,0 лет**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Электрокардиостимуляция при брадикардии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Программируемые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параметры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Режимы стимуляции  DDD, DDI, DVI, DOO, VDD, VVIR, VDIR, VVI,  VDI, VVT, VOOR, VOO, AAIR, ADIR, AAI, ADI, AAT, AOOR, AOO, ODO, OVO,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OAO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Переключение режима 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Нижняя базовая частота 30, 35, 40...60...175 мин-1 (кроме 65, 85)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</w:t>
            </w:r>
            <w:r>
              <w:rPr>
                <w:rFonts w:ascii="Times New Roman" w:hAnsi="Times New Roman"/>
                <w:sz w:val="24"/>
                <w:szCs w:val="24"/>
              </w:rPr>
              <w:t>я частота отслеживанияa 80, 90, 95...130...180 мин-1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Верхняя частота сенсора 80, 90, 95...130...180 мин-1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Амплитуда импульсаb  П и ПЖ  0,5; 0,75; 1,0...3,5...4; 4,5; 5; 5,5; 6; 7,5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Длительность импульса  П и ПЖ  0,12; 0,15; 0,21; 0,27; 0,34; 0,4; 0,46;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,52; 0,64; 0,76; 1; 1,25; 1,5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Предсердная чувствительность  0,18; 0,25; 0,35; 0,5; 0,7; 1; 1,4; 2; 2,8; 4 мВ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Желудочковая  чувствительность  1; 1,4; 2; 2,8; 4; 5,6; 8; 11,2 мВ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Полярность стимуляции (П и Ж) Биполярная, монополярная, настраиваемая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Полярно</w:t>
            </w:r>
            <w:r>
              <w:rPr>
                <w:rFonts w:ascii="Times New Roman" w:hAnsi="Times New Roman"/>
                <w:sz w:val="24"/>
                <w:szCs w:val="24"/>
              </w:rPr>
              <w:t>сть чувствительности (П и Ж) Биполярная, монополярная, настраиваемая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Стимулированный АВ (САВ) 30, 40, 50 ...150...350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Воспринятый АВ (ВАВ) 30, 40, 50 ...120...350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ПЖПРП Авто, перемен., 150, 160, 170 ...500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Минимальный ПЖПРП 150, 160, 170...250...5</w:t>
            </w:r>
            <w:r>
              <w:rPr>
                <w:rFonts w:ascii="Times New Roman" w:hAnsi="Times New Roman"/>
                <w:sz w:val="24"/>
                <w:szCs w:val="24"/>
              </w:rPr>
              <w:t>00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ПЖПСП    130, 140, 150...180...350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Предсердный рефрактерный период 180, 190, 200...250...500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Предсердный слепой период 130, 140, 150...180...350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Желудочковый рефрактерный период 150, 160, 170...230...500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Желудочковый слепой период (после </w:t>
            </w:r>
            <w:r>
              <w:rPr>
                <w:rFonts w:ascii="Times New Roman" w:hAnsi="Times New Roman"/>
                <w:sz w:val="24"/>
                <w:szCs w:val="24"/>
              </w:rPr>
              <w:t>предсердной стимуляции) (ППЖСП)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20, 28, 36, 44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Терапии для поддержания собственного ритма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Reduced VP™+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увеличение к АВ 10, 20, 30...170...250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«Сон»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во время сна 30, 35, 40...50...90 мин-1 (кроме 65</w:t>
            </w:r>
            <w:r>
              <w:rPr>
                <w:rFonts w:ascii="Times New Roman" w:hAnsi="Times New Roman"/>
                <w:sz w:val="24"/>
                <w:szCs w:val="24"/>
              </w:rPr>
              <w:t>, 85)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отхода ко сну 00:00, 00:15, 00:30... 22:00...23:45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пробуждения 00:00, 00:15, 00:30... 8:00...23:45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Однокамерный гистерезис Выкл., 40, 50, 60 мин-1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Частотная адаптация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при повседневной активности 60, 65, 70...95...175, 180 мин-1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офиль оптимизации частоты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Ответ на повс. активность 1, 2, 3, 4,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Ответ на физ. нагрузку 1, 2, 3, 4,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Порог активности Низкий, средне-низкий, средне-высокий, высокий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Ускорение 15 с, 30 с, 60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Замедление 2,5 мин, 5 мин, 10 мин, упражнения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Начальная частота 50, 55, 60...80...175 мин-1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Конечная частота 55, 60, 65...120...180 мин-1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смещение -10, -20, -30...-40...-300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Дополнительные функции стимуляции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Вмешательство при ЭЗТ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Ответ на ЖЭС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Безопа</w:t>
            </w:r>
            <w:r>
              <w:rPr>
                <w:rFonts w:ascii="Times New Roman" w:hAnsi="Times New Roman"/>
                <w:sz w:val="24"/>
                <w:szCs w:val="24"/>
              </w:rPr>
              <w:t>сная стимуляция желудочков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Терапии и вмешательства при предсердных тахиаритмиях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Переключение режима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детекции 120, 125...175...200 мин-1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Задержка до детекции Без задержки, 10, 20...60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Поиск трепетания в слепом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периоде Вкл.,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Конролируемый ответ на ФПc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Регуляризовать V-V во время ПТ/ФП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частота (мин-1) 80, 85, 90...110...130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Неконкурентная стимуляция предсердий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 стимуляция, чувствительность и мониторинг электрода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Детекция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имплантации и инициализация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 завершения 30-минутного периода детекции имплантации включается Профиль оптимизации частоты; автоматически выбирается подходящая полярность стимуляции и чувствительности; включается функция управления выходными параметрам</w:t>
            </w:r>
            <w:r>
              <w:rPr>
                <w:rFonts w:ascii="Times New Roman" w:hAnsi="Times New Roman"/>
                <w:sz w:val="24"/>
                <w:szCs w:val="24"/>
              </w:rPr>
              <w:t>и желудочкового канала, амплитуда и длительность импульса становятся адаптирующимися. Функция Reduced VP™+ включается через 60 минут после окончания детекции имплантации.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Детекция имплантации Вкл./перезагрузка, выкл./завершена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Мониторинг электродов (П и Ж)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Настроить, только мониторинг,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адаптивный (автоматическая переключение полярности),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Сообщить, если &lt; 200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Сообщить, если &gt; 1000, 2000, 3000, 4000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Мониторинг чувствительности 2, 3, 4 ... 8 ... 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Управление выходными параметрами желудочкового канал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Управление выходными параметрами желудочкового канала Выкл., только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мониторинг, адаптивный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 запаса по амплитуде 1,5x; 2x; 2,5x; 3x; 4x (раз)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Минимальная адаптируемая амплитуда 0,5; 0,75...2...3,5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теста для сбора данных 15; 30 м</w:t>
            </w:r>
            <w:r>
              <w:rPr>
                <w:rFonts w:ascii="Times New Roman" w:hAnsi="Times New Roman"/>
                <w:sz w:val="24"/>
                <w:szCs w:val="24"/>
              </w:rPr>
              <w:t>ин; 1; 2; 4; 8; 12 часов;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днем при отдыхе; днем в...; каждые 7 дней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теста для сбора данных 00:00, 1:00...23:00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Осталось дней острой фазы Выкл., 7, 14, 21...84, 112, 140, 168... 252 дн.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Ж. чувствительность во время теста Монополярная, биполярная, ад</w:t>
            </w:r>
            <w:r>
              <w:rPr>
                <w:rFonts w:ascii="Times New Roman" w:hAnsi="Times New Roman"/>
                <w:sz w:val="24"/>
                <w:szCs w:val="24"/>
              </w:rPr>
              <w:t>аптивная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Информационная панель кардиостимулятора II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Выделяет существенные события, сводные данные стимуляции,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тренды порога и импеданса, Тренды порогов стимуляции желудочков,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батареи, Статистика стимуляции и доступ к гистограмме час</w:t>
            </w:r>
            <w:r>
              <w:rPr>
                <w:rFonts w:ascii="Times New Roman" w:hAnsi="Times New Roman"/>
                <w:sz w:val="24"/>
                <w:szCs w:val="24"/>
              </w:rPr>
              <w:t>тоты ритма, Тренды импеданса электродов предсердия и желудочка, Наблюдения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Отчеты в виде гистограмм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Гистограммы частоты сердечных сокращений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Гистограмма АВ проведения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Гистограмма Reduced VP™+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Профиль частоты по показаниям сенсора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Предсердные и желудочковые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эпизоды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Предсердные и желудочковые эпизоды высокой частоты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Желудочковая частота во время ПТ/ФП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Длительность ПТ/ФП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Множественные эпизоды ЭГМ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Виды диагностики, выбранные врачом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Пользовательский тренд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частоты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Сведения об управлении выходными параметрами желу</w:t>
            </w:r>
            <w:r>
              <w:rPr>
                <w:rFonts w:ascii="Times New Roman" w:hAnsi="Times New Roman"/>
                <w:sz w:val="24"/>
                <w:szCs w:val="24"/>
              </w:rPr>
              <w:t>дочкового  канала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Подробный отчет об эпизодах высокой частоты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Управление данными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Данные пациента, хранящиеся в устройстве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Идентификация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Имплантированные электроды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Имплантированное устройство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Сохраненные примечания врача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Управление данными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 печать данных первичного опроса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Полностраничная печать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сохранения данных на диск для электронного документооборота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Контрольный осмотр и устранение неполадок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Функции телеметрии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Транстелефонный монитор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Расширенная теле</w:t>
            </w:r>
            <w:r>
              <w:rPr>
                <w:rFonts w:ascii="Times New Roman" w:hAnsi="Times New Roman"/>
                <w:sz w:val="24"/>
                <w:szCs w:val="24"/>
              </w:rPr>
              <w:t>метрия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Расширенный маркер Стандарт, кривая отслеживания терапии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История основных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Данные первичного опроса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 порога «Амплитуда-длительность»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 желудочкового порога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Marker Channel™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 запаса по порогу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 с физической нагрузко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ЭФИ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Магнитный тест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 спонтанного ритма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 чувствительности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Временный тест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Работа в режиме магнита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НСС РВЗ/ИПЗ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Двухкамерный режим Режим DOO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85 мин-1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Однокамерный предсердный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AOO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85 мин-1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Однокамерный желудочковый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VOO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85 </w:t>
            </w:r>
            <w:r>
              <w:rPr>
                <w:rFonts w:ascii="Times New Roman" w:hAnsi="Times New Roman"/>
                <w:sz w:val="24"/>
                <w:szCs w:val="24"/>
              </w:rPr>
              <w:t>мин-1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РВЗ/ ИПЗ                     Дата начала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Рекомендуемое время замены (РВЗ/ИПЗ)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Сообщение о необходимости замены на программаторе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(информационная панель кардиостимулятора II)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Информация  о батарее/электроде Сообщение о необходимости замены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напряжение батареи, показанное на программаторе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Дата начала работы РВЗ/ИПЗ Показано на программаторе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Сноски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 Предел желудочковой и предсердной частоты — 200 мин-1 (±20 мин-1).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 Допуск для амплитуд от 0,5 В до 6,0 В составляет ±10%, для 7,5 В —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-20/+0%. В</w:t>
            </w:r>
            <w:r>
              <w:rPr>
                <w:rFonts w:ascii="Times New Roman" w:hAnsi="Times New Roman"/>
                <w:sz w:val="24"/>
                <w:szCs w:val="24"/>
              </w:rPr>
              <w:t>еличина допуска определена для 37°C и нагрузки 500 ..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Амплитуда определена в 200 мс после пороговой границы стимула.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 Ответ на проведен. ФП действует во время эпизодов переключения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режимов, режимов WIR и VDIR.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* DDD, 60 имп/мин, 100% стимуляция, желудочк</w:t>
            </w:r>
            <w:r>
              <w:rPr>
                <w:rFonts w:ascii="Times New Roman" w:hAnsi="Times New Roman"/>
                <w:sz w:val="24"/>
                <w:szCs w:val="24"/>
              </w:rPr>
              <w:t>овая 2,0 В, † предсердная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1,5 В, длительность импульса — † 0,4 мс, импеданс стимуляции — 1000 ..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** Reduced VP™+ ВКЛ. 50% стимуляции.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† Минимальные адаптированные значения управления выходными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параметрами желудочков при заводских настройках.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Номинальные зн</w:t>
            </w:r>
            <w:r>
              <w:rPr>
                <w:rFonts w:ascii="Times New Roman" w:hAnsi="Times New Roman"/>
                <w:sz w:val="24"/>
                <w:szCs w:val="24"/>
              </w:rPr>
              <w:t>ачения параметров выделены жирным шрифтом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792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792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</w:tr>
      <w:tr w:rsidR="00792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Электрокардиостимулятор двухкамерный имплантируемый цифровой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требований Наличие функции,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 параметра по ТЗ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Базовые параметры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Режимы стимуляции DDD/DDIR - AAI - VVIR - VVI - VDD - DDI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DDTAV - DDTA - DDTV - AAT - VVT - DOO - AOO - VOO - OOO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Базовая частота в диапазоне, не менее 30 - 95 уд. в мин. (шаг не более 5)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частота проведения, не менее 185 уд. в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Частотный гистерезис в диапазоне, не менее 0 - 24 %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Амплитуда импуль</w:t>
            </w:r>
            <w:r>
              <w:rPr>
                <w:rFonts w:ascii="Times New Roman" w:hAnsi="Times New Roman"/>
                <w:sz w:val="24"/>
                <w:szCs w:val="24"/>
              </w:rPr>
              <w:t>са (предсердия и желудочки) в диапазоне, не менее 1.5 - 7.5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Длительность импульса (предсердия и желудочки) 0.10 – 1.00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Предсердная чувствительность в диапазоне, не менее 0.1 - 6.0 мВ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Желудочковая чувствительность в диапазоне, не менее 1.0 - 15.0 мВ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олярность детекции и стимуляции Униполярная - Биполярная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 снижения процента желудочковой стимуляции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Алгоритм снижения процента желудочковой стимуляции переключением режимов  DDD(R) &lt;=&gt; псевдоAAI(R) при детекции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собственного АВ проведения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ритерии тестирования наличия собственного АВ проведения алгоритма снижения процента желудочковой стимуляции переключением режимов DDD(R) &lt;=&gt; псевдоAAI(R) Не менее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Терапия по предотвращению предсердных тахиаритмий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Алгоритм переключения режимов стимуляции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перехода из режима без частотной адаптации в частотно-адаптивный режим на период  переключения режимов стимуляции (работы switch mode)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сглаживания ритма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программирования различных режимов работы фун</w:t>
            </w:r>
            <w:r>
              <w:rPr>
                <w:rFonts w:ascii="Times New Roman" w:hAnsi="Times New Roman"/>
                <w:sz w:val="24"/>
                <w:szCs w:val="24"/>
              </w:rPr>
              <w:t>кции сглаживания ритма Не менее 5 режимов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Алгоритмы защиты от PMT Не менее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автоматического перепрограммирования более короткой АВ задержки  при детекции РМТ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 детекции и автоматического прерывания PMT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Синхронизирующая п</w:t>
            </w:r>
            <w:r>
              <w:rPr>
                <w:rFonts w:ascii="Times New Roman" w:hAnsi="Times New Roman"/>
                <w:sz w:val="24"/>
                <w:szCs w:val="24"/>
              </w:rPr>
              <w:t>редсердная стимуляция в ответ на желудочковую экстрасистолу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Параметры частотной адаптации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сенсора Физиологический импедансный (минутной вентиляции).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автоматической настройки кривой частотной адаптации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Режимы частотной адапта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4 режимов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быстрой настройки сенсоров (программирования врачом наклона кривой частотной адаптации) Не менее 5 вариантов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Автоматические функции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Автоматическое измерение амплитуды сердечного сигнала и автоматическая подстройка чувстви</w:t>
            </w:r>
            <w:r>
              <w:rPr>
                <w:rFonts w:ascii="Times New Roman" w:hAnsi="Times New Roman"/>
                <w:sz w:val="24"/>
                <w:szCs w:val="24"/>
              </w:rPr>
              <w:t>тельности по предсердиям и желудочкам с возможностью работы в активном режиме или режиме мониторинга.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 активация всех функций диагностики сразу после детекции имплантации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Постоянная автоматическая подстройка кривой частотной а</w:t>
            </w:r>
            <w:r>
              <w:rPr>
                <w:rFonts w:ascii="Times New Roman" w:hAnsi="Times New Roman"/>
                <w:sz w:val="24"/>
                <w:szCs w:val="24"/>
              </w:rPr>
              <w:t>даптации при изменении уровня физической активности пациента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Автоматическое измерение импеданса предсердного и желудочкового электродов Наличие, не реже 1 раза в 6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проведения контрольного осмотра в полностью автоматическом режиме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Контрольный осмотр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программирования пользователем протокола проведения контрольного осмотра в полностью автоматическом режиме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сохранения/просмотра данных диагностики и контрольного осмотра на внешнем носителе информа</w:t>
            </w:r>
            <w:r>
              <w:rPr>
                <w:rFonts w:ascii="Times New Roman" w:hAnsi="Times New Roman"/>
                <w:sz w:val="24"/>
                <w:szCs w:val="24"/>
              </w:rPr>
              <w:t>ции и распечатки на принтере (формат А4)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Индикация состояния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батареи ЭКС с отражением: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остаточного срока службы ЭКС при запрограммированных параметрах стимуляции;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магнитной частоты;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вольтажа батареи;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тренда импеданса батареи.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Магнит</w:t>
            </w:r>
            <w:r>
              <w:rPr>
                <w:rFonts w:ascii="Times New Roman" w:hAnsi="Times New Roman"/>
                <w:sz w:val="24"/>
                <w:szCs w:val="24"/>
              </w:rPr>
              <w:t>ный тест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проведения неинвазивного ЭФИ: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залповая предсердная и желудочковая стимуляция;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программируемая последовательность экстрастимулов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Постоянно полностью активная диагностика, включая запись внутрисердечных Э</w:t>
            </w:r>
            <w:r>
              <w:rPr>
                <w:rFonts w:ascii="Times New Roman" w:hAnsi="Times New Roman"/>
                <w:sz w:val="24"/>
                <w:szCs w:val="24"/>
              </w:rPr>
              <w:t>ГМ высокого разрешения, без снижения сроков службы ЭКС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Экспертная система анализа данных диагностики: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автоматический анализ накопленной диагностической информации с выдачей врачу сообщений о клинически значимых событиях с графическим представлени</w:t>
            </w:r>
            <w:r>
              <w:rPr>
                <w:rFonts w:ascii="Times New Roman" w:hAnsi="Times New Roman"/>
                <w:sz w:val="24"/>
                <w:szCs w:val="24"/>
              </w:rPr>
              <w:t>ем диагностических данных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Автоматический анализ параметров стимуляции/детекции и терапии с рекомендациями по перепрограммированию устройства для оптимизации терапии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Долговременные суточные тренды: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предсердных аритмий;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желудочковых аритм</w:t>
            </w:r>
            <w:r>
              <w:rPr>
                <w:rFonts w:ascii="Times New Roman" w:hAnsi="Times New Roman"/>
                <w:sz w:val="24"/>
                <w:szCs w:val="24"/>
              </w:rPr>
              <w:t>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предсердной частоты;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желудочковой частоты;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% стимуляции. Не менее 6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Дневник аритмий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записи и сохранения внутрисердечных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электрограмм (ЭГМ) высокого разрешения в памяти ЭКС Не менее 3.5 мин двухканальной (П и Ж) ЭГМ с а</w:t>
            </w:r>
            <w:r>
              <w:rPr>
                <w:rFonts w:ascii="Times New Roman" w:hAnsi="Times New Roman"/>
                <w:sz w:val="24"/>
                <w:szCs w:val="24"/>
              </w:rPr>
              <w:t>ннотированными маркерами, синхронизированными с внутрисердечной ЭГМ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дискретизации сердечных сигналов для записи внутрисердечной ЭГМ Не менее 512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Общее число сохраняемых в памяти ЭКС эпизодов внутрисердечной ЭГМ Не менее 14 эпизодов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Запись внутри</w:t>
            </w:r>
            <w:r>
              <w:rPr>
                <w:rFonts w:ascii="Times New Roman" w:hAnsi="Times New Roman"/>
                <w:sz w:val="24"/>
                <w:szCs w:val="24"/>
              </w:rPr>
              <w:t>сердечных ЭГМ по программируемым триггерам Не менее 3 активных триггеров записи ЭГМ одновременно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Гистограммы и счетчики: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Тренды частоты предсердий и желудочков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% стимуляции по П и 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% стимуляции с частотой сенсора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Предсердные аритмии: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число и продолжител</w:t>
            </w:r>
            <w:r>
              <w:rPr>
                <w:rFonts w:ascii="Times New Roman" w:hAnsi="Times New Roman"/>
                <w:sz w:val="24"/>
                <w:szCs w:val="24"/>
              </w:rPr>
              <w:t>ьность эпизодов переключения режимов;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ПЭС;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эпизоды с высокой частотой.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Желудочковые аритмии: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ЖЭС;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эпизоды с высокой частотой.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Тренды порогов стимуляции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Гистограммы амплитуд всех физиологических и патологических волн P и R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Недельный холтер (</w:t>
            </w:r>
            <w:r>
              <w:rPr>
                <w:rFonts w:ascii="Times New Roman" w:hAnsi="Times New Roman"/>
                <w:sz w:val="24"/>
                <w:szCs w:val="24"/>
              </w:rPr>
              <w:t>7 суток по 24 часа)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Физические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Не более 41.2 x 41.5 x 6.1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 Не более 20 гр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 Не более 8 см3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коннектора IS-1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(70 уд. в мин., 2.5 В, 0.5 мс, 500 Ом, 100% предсердная и 15% желудочковая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стимуляция, вся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диагностика постоянно активна, включая запись внутрисердечных ЭГМ) Не менее 9.3 лет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производителя Не менее 5 лет с момента имплантации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18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792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D35" w:rsidRDefault="00792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</w:tr>
      <w:tr w:rsidR="00792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</w:tr>
      <w:tr w:rsidR="00792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92D35" w:rsidRDefault="001812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F95C71">
              <w:rPr>
                <w:rFonts w:ascii="Times New Roman" w:hAnsi="Times New Roman"/>
                <w:sz w:val="28"/>
                <w:szCs w:val="28"/>
              </w:rPr>
              <w:t>по заявке в 2020 году с момента заключения государственного контракта</w:t>
            </w:r>
          </w:p>
        </w:tc>
      </w:tr>
      <w:tr w:rsidR="00792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</w:tr>
      <w:tr w:rsidR="00792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92D35" w:rsidRDefault="00181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792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2D35" w:rsidRDefault="00792D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</w:tr>
      <w:tr w:rsidR="00792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92D35" w:rsidRDefault="00181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92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</w:tr>
      <w:tr w:rsidR="00792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92D35" w:rsidRDefault="001812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F95C71">
              <w:rPr>
                <w:rFonts w:ascii="Times New Roman" w:hAnsi="Times New Roman"/>
                <w:sz w:val="28"/>
                <w:szCs w:val="28"/>
              </w:rPr>
              <w:t xml:space="preserve">02.03.2020 </w:t>
            </w:r>
            <w:r>
              <w:rPr>
                <w:rFonts w:ascii="Times New Roman" w:hAnsi="Times New Roman"/>
                <w:sz w:val="28"/>
                <w:szCs w:val="28"/>
              </w:rPr>
              <w:t>17:00:00 по местному времени.</w:t>
            </w:r>
          </w:p>
        </w:tc>
      </w:tr>
      <w:tr w:rsidR="00792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</w:tr>
      <w:tr w:rsidR="00792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92D35" w:rsidRDefault="001812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792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</w:tr>
      <w:tr w:rsidR="00792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</w:tr>
      <w:tr w:rsidR="00792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2D35" w:rsidRDefault="00792D35">
            <w:pPr>
              <w:rPr>
                <w:szCs w:val="16"/>
              </w:rPr>
            </w:pPr>
          </w:p>
        </w:tc>
      </w:tr>
      <w:tr w:rsidR="00792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92D35" w:rsidRDefault="001812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92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92D35" w:rsidRDefault="00F95C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000000" w:rsidRDefault="0018126D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2D35"/>
    <w:rsid w:val="0018126D"/>
    <w:rsid w:val="00792D35"/>
    <w:rsid w:val="00F9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B437F-1C6D-4EA3-AD39-4D3138AA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2911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2020-02-27T11:20:00Z</dcterms:created>
  <dcterms:modified xsi:type="dcterms:W3CDTF">2020-02-27T11:21:00Z</dcterms:modified>
</cp:coreProperties>
</file>