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1513-2024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эндоскопическое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оборудования в соответствии с КТРУ 26.60.13.140-00000009:</w:t>
              <w:br/>
              <w:t xml:space="preserve">Система электроимпульсная для литотрипсии</w:t>
              <w:br/>
              <w:br/>
              <w:t xml:space="preserve">Требование к товару Поставляемы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потре-бительские свойства). (Данное требование 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яется безусловным к исполнению, и не требует отдельного подтверждения (указания) в составе заявки. Подтвер-ждено условиями проекта контракта).</w:t>
              <w:br/>
              <w:t xml:space="preserve">Оборудование не ранее 2024 года выпуска.</w:t>
              <w:br/>
              <w:br/>
              <w:t xml:space="preserve">Гарантийный срок производителя и поставщика – не менее 12 месяцев (Данн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требование является безусловным к исполнению, и не требует отдельного под-тверждения (указания) в составе заявки. Подтверждено условиями проекта контракта).</w:t>
              <w:br/>
              <w:br/>
              <w:t xml:space="preserve">Требования к упаковке - должна обеспечивать сохранность товаров при транс-портировке, погрузке,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выгрузке.</w:t>
              <w:br/>
              <w:br/>
              <w:t xml:space="preserve">№ п/п   Наименование товара Количество, шт.</w:t>
              <w:br/>
              <w:t xml:space="preserve">1   Система электроимпульсная для литотрипсии   1</w:t>
              <w:br/>
              <w:br/>
              <w:t xml:space="preserve">№</w:t>
              <w:br/>
              <w:t xml:space="preserve">п/п Наименование характеристики Значение</w:t>
              <w:br/>
              <w:t xml:space="preserve">характери-стики Единица измерения характе-ристики   Инструкция по</w:t>
              <w:br/>
              <w:t xml:space="preserve">заполнению характери-стик в заявке  Обос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нование</w:t>
              <w:br/>
              <w:t xml:space="preserve">параметров</w:t>
              <w:br/>
              <w:t xml:space="preserve">1.      Предназначен для эндоско-пического лечения мочека-менной и желчекаменной болезней путем контактно-го электроимпульсного раз-рушения камней, образую-щихся в мочевом пузыре, мочеточниках и почках   Наличие     Значение характери-ст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 не может изме-няться участником закупки    В соответствии с основным предна-значением</w:t>
              <w:br/>
              <w:t xml:space="preserve">2.      Разрушение камней осу-ществляется путем воздей-ствия на камни электриче-ским разрядом, формируе-мым наносекундным гене-ратором и передаваемым камню через зонд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     Значение характери-стики не может изме-няться участником закупки    Для снижения трав-матизации окружа-ющих тканей при разрушении камня</w:t>
              <w:br/>
              <w:t xml:space="preserve">3.      Генератор импульсов Наличие         Значение характери-стики не может изме-няться участником закуп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   Для генерации элек-трических разрядов</w:t>
              <w:br/>
              <w:t xml:space="preserve">4.      Потребляемая прибором мощность  ≤ 60    Вт  Значение характери-стики не может изме-няться участником закупки    Для минимизации энергопотребления</w:t>
              <w:br/>
              <w:t xml:space="preserve">5.      Время выхода прибора на рабочий режим после включе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в сеть    ≤ 15    мин Значение характери-стики не может изме-няться участником закупки    Для сокращения времени ожидания начала работы</w:t>
              <w:br/>
              <w:t xml:space="preserve">6.      Пределы регулировки энер-гии в импульсе в диапазоне ≥ 0,3 и ≤ 1,0   Дж  Значение характери-стики не может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ме-няться участником закупки    Для выбора опти-мального уровня энергии при воздей-ствии на камень в зависимости от его структуры, разме-ров и расположения</w:t>
              <w:br/>
              <w:t xml:space="preserve">7.      Количество импульсов, ге-нерируемых в единичной пачке   ≤ 2 и ≥ 99  шт. Участник закупки 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зывает в заявке диапазон значений характеристики    Для выбора необхо-димого количества импульсов при ра-боте с камнем в за-висимости от его расположения</w:t>
              <w:br/>
              <w:t xml:space="preserve">8.      Автоматическая идентифи-кация типа зонда при его подключении    Наличие        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тери-стики не может изме-няться участником закупки    Для безошибочного выбора зонда после его замены</w:t>
              <w:br/>
              <w:t xml:space="preserve">9.      Амплитуда импульса вы-ходного напряжения    ≤ 10    кВ  Значение характери-стики не может изме-няться участником закупки    Для снижения трав-мати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 окружа-ющих тканей</w:t>
              <w:br/>
              <w:t xml:space="preserve">10.     Режимы генерации импуль-сов Однократ-ный или серией     Значение характери-стики не может изме-няться участником закупки    Для выбора опти-мального режима при воздействии на камень в зависимо-сти от его структу-ры, размеро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 рас-положения</w:t>
              <w:br/>
              <w:t xml:space="preserve">11.     Индикатор, указывающий на наличие подключенного к прибору заземления    Световой        Значение характери-стики не может изме-няться участником закупки    Для безопасности использования</w:t>
              <w:br/>
              <w:t xml:space="preserve">12.     Мониторинг ресурса зонда    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и-ческий     Значение характери-стики не может изме-няться участником закупки    Для своевременной замены зонда и пла-нирования даль-нейшей потребно-сти</w:t>
              <w:br/>
              <w:t xml:space="preserve">13.     Передающий кабель   Наличие         Значение характери-стики не может изме-няться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купки    Для подключения зонда</w:t>
              <w:br/>
              <w:t xml:space="preserve">14.     Шнур электропитания Наличие     Значение характери-стики не может изме-няться участником закупки    Для электропитания прибора</w:t>
              <w:br/>
              <w:t xml:space="preserve">15.     Педаль управления   Наличие     Значение характери-стики не может изме-няться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тником закупки    Для подачи импуль-сов</w:t>
              <w:br/>
              <w:t xml:space="preserve">16.     Диаметр гибкого зонда (тип 1)   ≤ 1,2   мм  Значение характери-стики не может изме-няться участником закупки    Для проведения урологических опе-раций</w:t>
              <w:br/>
              <w:t xml:space="preserve">17.     Длина зонда (тип 1) ≥ 1250  мм 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и-стики не может изме-няться участником закупки    Для проведения урологических опе-раций</w:t>
              <w:br/>
              <w:t xml:space="preserve">18.     Количество гибких зондов (тип 1)    ≥ 1 шт. Участник закупки указывает в заявке конкретное значение характеристики  В соответствии с основной потребно-стью</w:t>
              <w:br/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Диаметр гибкого зонда (тип 2)   ≤ 2 мм  Значение характери-стики не может изме-няться участником закупки    Для проведения эн-доскопических опе-раций</w:t>
              <w:br/>
              <w:t xml:space="preserve">20.     Длина зонда (тип 2) ≥ 2200  мм  Значение характери-стики не может изме-няться участником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упки    Для проведения эн-доскопических опе-раций</w:t>
              <w:br/>
              <w:t xml:space="preserve">21.     Количество гибких зондов (тип 2)    ≥ 2 шт. Участник закупки указывает в заявке конкретное значение характеристики  В соответствии с основной потребно-стью</w:t>
              <w:br/>
              <w:t xml:space="preserve">22.     Диаметр гибкого зонда (тип 3)   ≤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1,2   мм  Значение характери-стики не может изме-няться участником закупки    Для проведения эн-доскопических опе-раций</w:t>
              <w:br/>
              <w:t xml:space="preserve">23.     Длина зонда (тип 3) ≥ 2200  мм  Значение характери-стики не может изме-няться участником закупки    Для проведения эн-доскопичес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ких опе-раций</w:t>
              <w:br/>
              <w:t xml:space="preserve">24.     Количество гибких зондов (тип 3)    ≥ 1 шт. Участник закупки указывает в заявке конкретное значение характеристики  В соответствии с основной потребно-стью</w:t>
              <w:br/>
              <w:br/>
              <w:t xml:space="preserve">Общие требования</w:t>
              <w:br/>
              <w:br/>
              <w:t xml:space="preserve"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Федеральной службы по надзору в сфере здравоохранения и социального развития Наличие</w:t>
              <w:br/>
              <w:t xml:space="preserve">Паспорт на изделие и инструкция по эксплуатации на русском языке    Наличие</w:t>
              <w:br/>
              <w:t xml:space="preserve">Инструкция по обработке, дезинфекции на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 языке   Наличие</w:t>
              <w:br/>
              <w:t xml:space="preserve">Техническая (сервисная) документация    Наличие</w:t>
              <w:br/>
              <w:t xml:space="preserve">Доставка оборудования до места монтажа  Наличие</w:t>
              <w:br/>
              <w:t xml:space="preserve">Монтаж оборудования, ввод в эксплуатацию    Наличие</w:t>
              <w:br/>
              <w:t xml:space="preserve">Утилизация транспортной упаковки после выполнения монтажа   Наличие</w:t>
              <w:br/>
              <w:t xml:space="preserve">Предпусковое обучен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специалистов работе на поставляемом оборудова-нии Наличие</w:t>
              <w:br/>
              <w:t xml:space="preserve">Регламент технического обслуживания оборудования на весь срок эксплуа-тации, установленный производителем, на русском языке Наличие</w:t>
              <w:br/>
              <w:t xml:space="preserve">Инструктаж технического персонала Заказчика техническому обслуж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ива-нию по регламентам производителя оборудования    Наличие</w:t>
              <w:br/>
              <w:t xml:space="preserve">Гарантия поставщика и производителя с даты подписания акта ввода в эксплуатацию, месяцев    Не менее 12</w:t>
              <w:br/>
              <w:t xml:space="preserve">Срок поставки с момента заключения контракта, дней  Не более 90, начиная с 01.01.2025 г.</w:t>
              <w:br/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