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A03B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 w:rsidP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>2 022 г. №.145-2022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B9E" w:rsidRDefault="008B4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хранение эпидемиологических опасных  отходов, в том числе органических  и прочего материала в местах первичного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2.1.3684-21.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Фактический объем изделия –  не менее 3,0 л. Гравировка с указанием фактического объема – наличие. Полезный объем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Основной цвет  изделия - желтый. Материал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Высота – не менее 19 см,  диаметр горловины  - не менее  170 мм,  диаметр дна -  не менее 130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стенки – не менее 1,2 мм.   Крышка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плотно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пригнанными краями,  и ободом для фиксации по нижнему краю, герметично закрывающая основу. Нал</w:t>
            </w:r>
            <w:r>
              <w:rPr>
                <w:rFonts w:ascii="Times New Roman" w:hAnsi="Times New Roman"/>
                <w:sz w:val="24"/>
                <w:szCs w:val="24"/>
              </w:rPr>
              <w:t>ичие маркировочной наклейки для внесения данных обязательно (требование СанПиН 2.1.3684-21)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A03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A03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23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"Б"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и хранения медицинских отходов класса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Б"в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комплекте с бирками для маркировки, бирка нанесена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типографическим способом на пакет (позволяет нанести маркировку без дополнительных приспособлений согласно требованиям СанПиН, 2.1.3684-21, и стяжками для герметизации. Пакет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желтой  окраски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(требования  СанПиН, 2.1.3684-21). На поверхность должна быть нан</w:t>
            </w:r>
            <w:r>
              <w:rPr>
                <w:rFonts w:ascii="Times New Roman" w:hAnsi="Times New Roman"/>
                <w:sz w:val="24"/>
                <w:szCs w:val="24"/>
              </w:rPr>
              <w:t>есена печать со сведениями о текущем классе опасности, информационным окном: название ЛПУ, подразделение ЛПУ, ответственное лицо, дата сбора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требование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2.1.3684).   Пакеты изготовлены из двухслойного полиэтилена, наружный слой которого - прочный п</w:t>
            </w:r>
            <w:r>
              <w:rPr>
                <w:rFonts w:ascii="Times New Roman" w:hAnsi="Times New Roman"/>
                <w:sz w:val="24"/>
                <w:szCs w:val="24"/>
              </w:rPr>
              <w:t>олиэтилен низкого давления (ПНД), внутренний слой - эластичный полиэтилен высокого давления (ПВД) (наружный слой пакета обеспечивает его прочность, внутренний слой из ПВД добавляет пакету эластичность, что позволяет исключать разрывы при транспортировке, п</w:t>
            </w:r>
            <w:r>
              <w:rPr>
                <w:rFonts w:ascii="Times New Roman" w:hAnsi="Times New Roman"/>
                <w:sz w:val="24"/>
                <w:szCs w:val="24"/>
              </w:rPr>
              <w:t>редотвращая возможные риски загрязнения биологической жидкостью объектов внешней среды и медицинского персонала, в том числе и при транспортировке за пределы структурных подразделений). Толщина двухслойного полиэтилена не менее 25 мкм. (для обеспечения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ьшей прочности при сборе и транспортировки емких, имеющих конструктивные особенности медицинских отходов (использованных медицинских изделий).  Размер ширина – 600±10% мм, длина - 1000±10% мм (для контейнеров объемом 50 л., имеющихся у Заказчика).  Пакеты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скреплены двойным сварным швом по нижнему краю.  Шов должен быть ровным, без пропусков, прожженных мест, складок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шва (для обеспечения герметичности и предупреждения разрывов изделия при сборе и транспортировке медицинских от</w:t>
            </w:r>
            <w:r>
              <w:rPr>
                <w:rFonts w:ascii="Times New Roman" w:hAnsi="Times New Roman"/>
                <w:sz w:val="24"/>
                <w:szCs w:val="24"/>
              </w:rPr>
              <w:t>ходов). Качество и безопасность продукции в соответствии с ГОСТ 12302-83 и ГОСТ Р 50962-2013, в соответствии с требованиями СанПиН 2.1.7.3684-21. (Требование установлено для оценки технических параметров и функций по стандартным критериям).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A03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A03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  не стерильный, одноразовый для сбора биологических материалов: моча, кал, мокрота, грудное молоко, сперма, рвотные массы, раневое отделяемое, а также иных твердых и жидких образцов, кроме крови, для дальнейшего лаборат</w:t>
            </w:r>
            <w:r>
              <w:rPr>
                <w:rFonts w:ascii="Times New Roman" w:hAnsi="Times New Roman"/>
                <w:sz w:val="24"/>
                <w:szCs w:val="24"/>
              </w:rPr>
              <w:t>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контейнера - прозрачный, цвет крышка контейнера- красный, градуировка на корпусе контейнера до 40мл(значение параметра не требует конкретизации), наличие матового окна с полями для записей на русском языке ФИО и Дата, винтовой м</w:t>
            </w:r>
            <w:r>
              <w:rPr>
                <w:rFonts w:ascii="Times New Roman" w:hAnsi="Times New Roman"/>
                <w:sz w:val="24"/>
                <w:szCs w:val="24"/>
              </w:rPr>
              <w:t>еханизм фиксации крышки на корпусе контейнера. Крышка емкости снабжена несъемным шпателем для забора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контейнера: 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дополнительного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 в собр</w:t>
            </w:r>
            <w:r>
              <w:rPr>
                <w:rFonts w:ascii="Times New Roman" w:hAnsi="Times New Roman"/>
                <w:sz w:val="24"/>
                <w:szCs w:val="24"/>
              </w:rPr>
              <w:t>анном виде исключает протекание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8B4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A03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B9E" w:rsidRDefault="00A03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</w:t>
            </w:r>
            <w:r>
              <w:rPr>
                <w:rFonts w:ascii="Times New Roman" w:hAnsi="Times New Roman"/>
                <w:szCs w:val="16"/>
              </w:rPr>
              <w:t>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 w:rsidP="008B4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A03B9E" w:rsidRDefault="00A03B9E">
            <w:pPr>
              <w:rPr>
                <w:szCs w:val="16"/>
              </w:rPr>
            </w:pP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3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A03B9E" w:rsidRDefault="008B41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000000" w:rsidRDefault="008B41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B9E"/>
    <w:rsid w:val="008B418D"/>
    <w:rsid w:val="00A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46A1-BCBB-4738-A81C-AEB2DAA4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2022-01-27T04:09:00Z</dcterms:created>
  <dcterms:modified xsi:type="dcterms:W3CDTF">2022-01-27T04:09:00Z</dcterms:modified>
</cp:coreProperties>
</file>