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3743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743CF" w:rsidRDefault="003743CF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3743CF" w:rsidRDefault="003743CF"/>
        </w:tc>
        <w:tc>
          <w:tcPr>
            <w:tcW w:w="1995" w:type="dxa"/>
            <w:shd w:val="clear" w:color="auto" w:fill="auto"/>
            <w:vAlign w:val="bottom"/>
          </w:tcPr>
          <w:p w:rsidR="003743CF" w:rsidRDefault="003743CF"/>
        </w:tc>
        <w:tc>
          <w:tcPr>
            <w:tcW w:w="1650" w:type="dxa"/>
            <w:shd w:val="clear" w:color="auto" w:fill="auto"/>
            <w:vAlign w:val="bottom"/>
          </w:tcPr>
          <w:p w:rsidR="003743CF" w:rsidRDefault="003743CF"/>
        </w:tc>
        <w:tc>
          <w:tcPr>
            <w:tcW w:w="1905" w:type="dxa"/>
            <w:shd w:val="clear" w:color="auto" w:fill="auto"/>
            <w:vAlign w:val="bottom"/>
          </w:tcPr>
          <w:p w:rsidR="003743CF" w:rsidRDefault="003743CF"/>
        </w:tc>
      </w:tr>
      <w:tr w:rsidR="003743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743CF" w:rsidRDefault="003743CF"/>
        </w:tc>
        <w:tc>
          <w:tcPr>
            <w:tcW w:w="1275" w:type="dxa"/>
            <w:shd w:val="clear" w:color="auto" w:fill="auto"/>
            <w:vAlign w:val="bottom"/>
          </w:tcPr>
          <w:p w:rsidR="003743CF" w:rsidRDefault="003743CF"/>
        </w:tc>
        <w:tc>
          <w:tcPr>
            <w:tcW w:w="1470" w:type="dxa"/>
            <w:shd w:val="clear" w:color="auto" w:fill="auto"/>
            <w:vAlign w:val="bottom"/>
          </w:tcPr>
          <w:p w:rsidR="003743CF" w:rsidRDefault="003743CF"/>
        </w:tc>
        <w:tc>
          <w:tcPr>
            <w:tcW w:w="2100" w:type="dxa"/>
            <w:shd w:val="clear" w:color="auto" w:fill="auto"/>
            <w:vAlign w:val="bottom"/>
          </w:tcPr>
          <w:p w:rsidR="003743CF" w:rsidRDefault="003743CF"/>
        </w:tc>
        <w:tc>
          <w:tcPr>
            <w:tcW w:w="1995" w:type="dxa"/>
            <w:shd w:val="clear" w:color="auto" w:fill="auto"/>
            <w:vAlign w:val="bottom"/>
          </w:tcPr>
          <w:p w:rsidR="003743CF" w:rsidRDefault="003743CF"/>
        </w:tc>
        <w:tc>
          <w:tcPr>
            <w:tcW w:w="1650" w:type="dxa"/>
            <w:shd w:val="clear" w:color="auto" w:fill="auto"/>
            <w:vAlign w:val="bottom"/>
          </w:tcPr>
          <w:p w:rsidR="003743CF" w:rsidRDefault="003743CF"/>
        </w:tc>
        <w:tc>
          <w:tcPr>
            <w:tcW w:w="1905" w:type="dxa"/>
            <w:shd w:val="clear" w:color="auto" w:fill="auto"/>
            <w:vAlign w:val="bottom"/>
          </w:tcPr>
          <w:p w:rsidR="003743CF" w:rsidRDefault="003743CF"/>
        </w:tc>
      </w:tr>
      <w:tr w:rsidR="003743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743CF" w:rsidRDefault="003743CF"/>
        </w:tc>
        <w:tc>
          <w:tcPr>
            <w:tcW w:w="1275" w:type="dxa"/>
            <w:shd w:val="clear" w:color="auto" w:fill="auto"/>
            <w:vAlign w:val="bottom"/>
          </w:tcPr>
          <w:p w:rsidR="003743CF" w:rsidRDefault="003743CF"/>
        </w:tc>
        <w:tc>
          <w:tcPr>
            <w:tcW w:w="1470" w:type="dxa"/>
            <w:shd w:val="clear" w:color="auto" w:fill="auto"/>
            <w:vAlign w:val="bottom"/>
          </w:tcPr>
          <w:p w:rsidR="003743CF" w:rsidRDefault="003743CF"/>
        </w:tc>
        <w:tc>
          <w:tcPr>
            <w:tcW w:w="2100" w:type="dxa"/>
            <w:shd w:val="clear" w:color="auto" w:fill="auto"/>
            <w:vAlign w:val="bottom"/>
          </w:tcPr>
          <w:p w:rsidR="003743CF" w:rsidRDefault="003743CF"/>
        </w:tc>
        <w:tc>
          <w:tcPr>
            <w:tcW w:w="1995" w:type="dxa"/>
            <w:shd w:val="clear" w:color="auto" w:fill="auto"/>
            <w:vAlign w:val="bottom"/>
          </w:tcPr>
          <w:p w:rsidR="003743CF" w:rsidRDefault="003743CF"/>
        </w:tc>
        <w:tc>
          <w:tcPr>
            <w:tcW w:w="1650" w:type="dxa"/>
            <w:shd w:val="clear" w:color="auto" w:fill="auto"/>
            <w:vAlign w:val="bottom"/>
          </w:tcPr>
          <w:p w:rsidR="003743CF" w:rsidRDefault="003743CF"/>
        </w:tc>
        <w:tc>
          <w:tcPr>
            <w:tcW w:w="1905" w:type="dxa"/>
            <w:shd w:val="clear" w:color="auto" w:fill="auto"/>
            <w:vAlign w:val="bottom"/>
          </w:tcPr>
          <w:p w:rsidR="003743CF" w:rsidRDefault="003743CF"/>
        </w:tc>
      </w:tr>
      <w:tr w:rsidR="003743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743CF" w:rsidRDefault="003743CF"/>
        </w:tc>
        <w:tc>
          <w:tcPr>
            <w:tcW w:w="1275" w:type="dxa"/>
            <w:shd w:val="clear" w:color="auto" w:fill="auto"/>
            <w:vAlign w:val="bottom"/>
          </w:tcPr>
          <w:p w:rsidR="003743CF" w:rsidRDefault="003743CF"/>
        </w:tc>
        <w:tc>
          <w:tcPr>
            <w:tcW w:w="1470" w:type="dxa"/>
            <w:shd w:val="clear" w:color="auto" w:fill="auto"/>
            <w:vAlign w:val="bottom"/>
          </w:tcPr>
          <w:p w:rsidR="003743CF" w:rsidRDefault="003743CF"/>
        </w:tc>
        <w:tc>
          <w:tcPr>
            <w:tcW w:w="2100" w:type="dxa"/>
            <w:shd w:val="clear" w:color="auto" w:fill="auto"/>
            <w:vAlign w:val="bottom"/>
          </w:tcPr>
          <w:p w:rsidR="003743CF" w:rsidRDefault="003743CF"/>
        </w:tc>
        <w:tc>
          <w:tcPr>
            <w:tcW w:w="1995" w:type="dxa"/>
            <w:shd w:val="clear" w:color="auto" w:fill="auto"/>
            <w:vAlign w:val="bottom"/>
          </w:tcPr>
          <w:p w:rsidR="003743CF" w:rsidRDefault="003743CF"/>
        </w:tc>
        <w:tc>
          <w:tcPr>
            <w:tcW w:w="1650" w:type="dxa"/>
            <w:shd w:val="clear" w:color="auto" w:fill="auto"/>
            <w:vAlign w:val="bottom"/>
          </w:tcPr>
          <w:p w:rsidR="003743CF" w:rsidRDefault="003743CF"/>
        </w:tc>
        <w:tc>
          <w:tcPr>
            <w:tcW w:w="1905" w:type="dxa"/>
            <w:shd w:val="clear" w:color="auto" w:fill="auto"/>
            <w:vAlign w:val="bottom"/>
          </w:tcPr>
          <w:p w:rsidR="003743CF" w:rsidRDefault="003743CF"/>
        </w:tc>
      </w:tr>
      <w:tr w:rsidR="003743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743CF" w:rsidRDefault="003743CF"/>
        </w:tc>
        <w:tc>
          <w:tcPr>
            <w:tcW w:w="1275" w:type="dxa"/>
            <w:shd w:val="clear" w:color="auto" w:fill="auto"/>
            <w:vAlign w:val="bottom"/>
          </w:tcPr>
          <w:p w:rsidR="003743CF" w:rsidRDefault="003743CF"/>
        </w:tc>
        <w:tc>
          <w:tcPr>
            <w:tcW w:w="1470" w:type="dxa"/>
            <w:shd w:val="clear" w:color="auto" w:fill="auto"/>
            <w:vAlign w:val="bottom"/>
          </w:tcPr>
          <w:p w:rsidR="003743CF" w:rsidRDefault="003743CF"/>
        </w:tc>
        <w:tc>
          <w:tcPr>
            <w:tcW w:w="2100" w:type="dxa"/>
            <w:shd w:val="clear" w:color="auto" w:fill="auto"/>
            <w:vAlign w:val="bottom"/>
          </w:tcPr>
          <w:p w:rsidR="003743CF" w:rsidRDefault="003743CF"/>
        </w:tc>
        <w:tc>
          <w:tcPr>
            <w:tcW w:w="1995" w:type="dxa"/>
            <w:shd w:val="clear" w:color="auto" w:fill="auto"/>
            <w:vAlign w:val="bottom"/>
          </w:tcPr>
          <w:p w:rsidR="003743CF" w:rsidRDefault="003743CF"/>
        </w:tc>
        <w:tc>
          <w:tcPr>
            <w:tcW w:w="1650" w:type="dxa"/>
            <w:shd w:val="clear" w:color="auto" w:fill="auto"/>
            <w:vAlign w:val="bottom"/>
          </w:tcPr>
          <w:p w:rsidR="003743CF" w:rsidRDefault="003743CF"/>
        </w:tc>
        <w:tc>
          <w:tcPr>
            <w:tcW w:w="1905" w:type="dxa"/>
            <w:shd w:val="clear" w:color="auto" w:fill="auto"/>
            <w:vAlign w:val="bottom"/>
          </w:tcPr>
          <w:p w:rsidR="003743CF" w:rsidRDefault="003743CF"/>
        </w:tc>
      </w:tr>
      <w:tr w:rsidR="003743CF" w:rsidRPr="00485F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743CF" w:rsidRPr="00485F27" w:rsidRDefault="00485F2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85F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85F2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85F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85F2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85F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85F2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3743CF" w:rsidRPr="00485F27" w:rsidRDefault="003743CF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743CF" w:rsidRPr="00485F27" w:rsidRDefault="003743CF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743CF" w:rsidRPr="00485F27" w:rsidRDefault="003743CF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743CF" w:rsidRPr="00485F27" w:rsidRDefault="003743CF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743CF" w:rsidRPr="00485F27" w:rsidRDefault="003743CF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743CF" w:rsidRPr="00485F27" w:rsidRDefault="003743CF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743CF" w:rsidRPr="00485F27" w:rsidRDefault="003743CF">
            <w:pPr>
              <w:rPr>
                <w:lang w:val="en-US"/>
              </w:rPr>
            </w:pPr>
          </w:p>
        </w:tc>
      </w:tr>
      <w:tr w:rsidR="003743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743CF" w:rsidRDefault="003743CF"/>
        </w:tc>
        <w:tc>
          <w:tcPr>
            <w:tcW w:w="1275" w:type="dxa"/>
            <w:shd w:val="clear" w:color="auto" w:fill="auto"/>
            <w:vAlign w:val="bottom"/>
          </w:tcPr>
          <w:p w:rsidR="003743CF" w:rsidRDefault="003743CF"/>
        </w:tc>
        <w:tc>
          <w:tcPr>
            <w:tcW w:w="1470" w:type="dxa"/>
            <w:shd w:val="clear" w:color="auto" w:fill="auto"/>
            <w:vAlign w:val="bottom"/>
          </w:tcPr>
          <w:p w:rsidR="003743CF" w:rsidRDefault="003743CF"/>
        </w:tc>
        <w:tc>
          <w:tcPr>
            <w:tcW w:w="2100" w:type="dxa"/>
            <w:shd w:val="clear" w:color="auto" w:fill="auto"/>
            <w:vAlign w:val="bottom"/>
          </w:tcPr>
          <w:p w:rsidR="003743CF" w:rsidRDefault="003743CF"/>
        </w:tc>
        <w:tc>
          <w:tcPr>
            <w:tcW w:w="1995" w:type="dxa"/>
            <w:shd w:val="clear" w:color="auto" w:fill="auto"/>
            <w:vAlign w:val="bottom"/>
          </w:tcPr>
          <w:p w:rsidR="003743CF" w:rsidRDefault="003743CF"/>
        </w:tc>
        <w:tc>
          <w:tcPr>
            <w:tcW w:w="1650" w:type="dxa"/>
            <w:shd w:val="clear" w:color="auto" w:fill="auto"/>
            <w:vAlign w:val="bottom"/>
          </w:tcPr>
          <w:p w:rsidR="003743CF" w:rsidRDefault="003743CF"/>
        </w:tc>
        <w:tc>
          <w:tcPr>
            <w:tcW w:w="1905" w:type="dxa"/>
            <w:shd w:val="clear" w:color="auto" w:fill="auto"/>
            <w:vAlign w:val="bottom"/>
          </w:tcPr>
          <w:p w:rsidR="003743CF" w:rsidRDefault="003743CF"/>
        </w:tc>
      </w:tr>
      <w:tr w:rsidR="003743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743CF" w:rsidRDefault="003743CF"/>
        </w:tc>
        <w:tc>
          <w:tcPr>
            <w:tcW w:w="1275" w:type="dxa"/>
            <w:shd w:val="clear" w:color="auto" w:fill="auto"/>
            <w:vAlign w:val="bottom"/>
          </w:tcPr>
          <w:p w:rsidR="003743CF" w:rsidRDefault="003743CF"/>
        </w:tc>
        <w:tc>
          <w:tcPr>
            <w:tcW w:w="1470" w:type="dxa"/>
            <w:shd w:val="clear" w:color="auto" w:fill="auto"/>
            <w:vAlign w:val="bottom"/>
          </w:tcPr>
          <w:p w:rsidR="003743CF" w:rsidRDefault="003743CF"/>
        </w:tc>
        <w:tc>
          <w:tcPr>
            <w:tcW w:w="2100" w:type="dxa"/>
            <w:shd w:val="clear" w:color="auto" w:fill="auto"/>
            <w:vAlign w:val="bottom"/>
          </w:tcPr>
          <w:p w:rsidR="003743CF" w:rsidRDefault="003743CF"/>
        </w:tc>
        <w:tc>
          <w:tcPr>
            <w:tcW w:w="1995" w:type="dxa"/>
            <w:shd w:val="clear" w:color="auto" w:fill="auto"/>
            <w:vAlign w:val="bottom"/>
          </w:tcPr>
          <w:p w:rsidR="003743CF" w:rsidRDefault="003743CF"/>
        </w:tc>
        <w:tc>
          <w:tcPr>
            <w:tcW w:w="1650" w:type="dxa"/>
            <w:shd w:val="clear" w:color="auto" w:fill="auto"/>
            <w:vAlign w:val="bottom"/>
          </w:tcPr>
          <w:p w:rsidR="003743CF" w:rsidRDefault="003743CF"/>
        </w:tc>
        <w:tc>
          <w:tcPr>
            <w:tcW w:w="1905" w:type="dxa"/>
            <w:shd w:val="clear" w:color="auto" w:fill="auto"/>
            <w:vAlign w:val="bottom"/>
          </w:tcPr>
          <w:p w:rsidR="003743CF" w:rsidRDefault="003743CF"/>
        </w:tc>
      </w:tr>
      <w:tr w:rsidR="003743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743CF" w:rsidRDefault="003743CF"/>
        </w:tc>
        <w:tc>
          <w:tcPr>
            <w:tcW w:w="1275" w:type="dxa"/>
            <w:shd w:val="clear" w:color="auto" w:fill="auto"/>
            <w:vAlign w:val="bottom"/>
          </w:tcPr>
          <w:p w:rsidR="003743CF" w:rsidRDefault="003743CF"/>
        </w:tc>
        <w:tc>
          <w:tcPr>
            <w:tcW w:w="1470" w:type="dxa"/>
            <w:shd w:val="clear" w:color="auto" w:fill="auto"/>
            <w:vAlign w:val="bottom"/>
          </w:tcPr>
          <w:p w:rsidR="003743CF" w:rsidRDefault="003743CF"/>
        </w:tc>
        <w:tc>
          <w:tcPr>
            <w:tcW w:w="2100" w:type="dxa"/>
            <w:shd w:val="clear" w:color="auto" w:fill="auto"/>
            <w:vAlign w:val="bottom"/>
          </w:tcPr>
          <w:p w:rsidR="003743CF" w:rsidRDefault="003743CF"/>
        </w:tc>
        <w:tc>
          <w:tcPr>
            <w:tcW w:w="1995" w:type="dxa"/>
            <w:shd w:val="clear" w:color="auto" w:fill="auto"/>
            <w:vAlign w:val="bottom"/>
          </w:tcPr>
          <w:p w:rsidR="003743CF" w:rsidRDefault="003743CF"/>
        </w:tc>
        <w:tc>
          <w:tcPr>
            <w:tcW w:w="1650" w:type="dxa"/>
            <w:shd w:val="clear" w:color="auto" w:fill="auto"/>
            <w:vAlign w:val="bottom"/>
          </w:tcPr>
          <w:p w:rsidR="003743CF" w:rsidRDefault="003743CF"/>
        </w:tc>
        <w:tc>
          <w:tcPr>
            <w:tcW w:w="1905" w:type="dxa"/>
            <w:shd w:val="clear" w:color="auto" w:fill="auto"/>
            <w:vAlign w:val="bottom"/>
          </w:tcPr>
          <w:p w:rsidR="003743CF" w:rsidRDefault="003743CF"/>
        </w:tc>
      </w:tr>
      <w:tr w:rsidR="003743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743CF" w:rsidRDefault="00485F27" w:rsidP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03.02.</w:t>
            </w:r>
            <w:r>
              <w:rPr>
                <w:rFonts w:ascii="Times New Roman" w:hAnsi="Times New Roman"/>
                <w:sz w:val="24"/>
                <w:szCs w:val="24"/>
              </w:rPr>
              <w:t>2 023 г. №.144-2023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743CF" w:rsidRDefault="003743CF"/>
        </w:tc>
        <w:tc>
          <w:tcPr>
            <w:tcW w:w="1275" w:type="dxa"/>
            <w:shd w:val="clear" w:color="auto" w:fill="auto"/>
            <w:vAlign w:val="bottom"/>
          </w:tcPr>
          <w:p w:rsidR="003743CF" w:rsidRDefault="003743CF"/>
        </w:tc>
        <w:tc>
          <w:tcPr>
            <w:tcW w:w="1470" w:type="dxa"/>
            <w:shd w:val="clear" w:color="auto" w:fill="auto"/>
            <w:vAlign w:val="bottom"/>
          </w:tcPr>
          <w:p w:rsidR="003743CF" w:rsidRDefault="003743CF"/>
        </w:tc>
        <w:tc>
          <w:tcPr>
            <w:tcW w:w="2100" w:type="dxa"/>
            <w:shd w:val="clear" w:color="auto" w:fill="auto"/>
            <w:vAlign w:val="bottom"/>
          </w:tcPr>
          <w:p w:rsidR="003743CF" w:rsidRDefault="003743CF"/>
        </w:tc>
        <w:tc>
          <w:tcPr>
            <w:tcW w:w="1995" w:type="dxa"/>
            <w:shd w:val="clear" w:color="auto" w:fill="auto"/>
            <w:vAlign w:val="bottom"/>
          </w:tcPr>
          <w:p w:rsidR="003743CF" w:rsidRDefault="003743CF"/>
        </w:tc>
        <w:tc>
          <w:tcPr>
            <w:tcW w:w="1650" w:type="dxa"/>
            <w:shd w:val="clear" w:color="auto" w:fill="auto"/>
            <w:vAlign w:val="bottom"/>
          </w:tcPr>
          <w:p w:rsidR="003743CF" w:rsidRDefault="003743CF"/>
        </w:tc>
        <w:tc>
          <w:tcPr>
            <w:tcW w:w="1905" w:type="dxa"/>
            <w:shd w:val="clear" w:color="auto" w:fill="auto"/>
            <w:vAlign w:val="bottom"/>
          </w:tcPr>
          <w:p w:rsidR="003743CF" w:rsidRDefault="003743CF"/>
        </w:tc>
      </w:tr>
      <w:tr w:rsidR="003743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743CF" w:rsidRDefault="003743CF"/>
        </w:tc>
        <w:tc>
          <w:tcPr>
            <w:tcW w:w="1275" w:type="dxa"/>
            <w:shd w:val="clear" w:color="auto" w:fill="auto"/>
            <w:vAlign w:val="bottom"/>
          </w:tcPr>
          <w:p w:rsidR="003743CF" w:rsidRDefault="003743CF"/>
        </w:tc>
        <w:tc>
          <w:tcPr>
            <w:tcW w:w="1470" w:type="dxa"/>
            <w:shd w:val="clear" w:color="auto" w:fill="auto"/>
            <w:vAlign w:val="bottom"/>
          </w:tcPr>
          <w:p w:rsidR="003743CF" w:rsidRDefault="003743CF"/>
        </w:tc>
        <w:tc>
          <w:tcPr>
            <w:tcW w:w="2100" w:type="dxa"/>
            <w:shd w:val="clear" w:color="auto" w:fill="auto"/>
            <w:vAlign w:val="bottom"/>
          </w:tcPr>
          <w:p w:rsidR="003743CF" w:rsidRDefault="003743CF"/>
        </w:tc>
        <w:tc>
          <w:tcPr>
            <w:tcW w:w="1995" w:type="dxa"/>
            <w:shd w:val="clear" w:color="auto" w:fill="auto"/>
            <w:vAlign w:val="bottom"/>
          </w:tcPr>
          <w:p w:rsidR="003743CF" w:rsidRDefault="003743CF"/>
        </w:tc>
        <w:tc>
          <w:tcPr>
            <w:tcW w:w="1650" w:type="dxa"/>
            <w:shd w:val="clear" w:color="auto" w:fill="auto"/>
            <w:vAlign w:val="bottom"/>
          </w:tcPr>
          <w:p w:rsidR="003743CF" w:rsidRDefault="003743CF"/>
        </w:tc>
        <w:tc>
          <w:tcPr>
            <w:tcW w:w="1905" w:type="dxa"/>
            <w:shd w:val="clear" w:color="auto" w:fill="auto"/>
            <w:vAlign w:val="bottom"/>
          </w:tcPr>
          <w:p w:rsidR="003743CF" w:rsidRDefault="003743CF"/>
        </w:tc>
      </w:tr>
      <w:tr w:rsidR="003743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743CF" w:rsidRDefault="003743CF"/>
        </w:tc>
        <w:tc>
          <w:tcPr>
            <w:tcW w:w="2535" w:type="dxa"/>
            <w:shd w:val="clear" w:color="auto" w:fill="auto"/>
            <w:vAlign w:val="bottom"/>
          </w:tcPr>
          <w:p w:rsidR="003743CF" w:rsidRDefault="003743CF"/>
        </w:tc>
        <w:tc>
          <w:tcPr>
            <w:tcW w:w="3315" w:type="dxa"/>
            <w:shd w:val="clear" w:color="auto" w:fill="auto"/>
            <w:vAlign w:val="bottom"/>
          </w:tcPr>
          <w:p w:rsidR="003743CF" w:rsidRDefault="003743CF"/>
        </w:tc>
        <w:tc>
          <w:tcPr>
            <w:tcW w:w="1125" w:type="dxa"/>
            <w:shd w:val="clear" w:color="auto" w:fill="auto"/>
            <w:vAlign w:val="bottom"/>
          </w:tcPr>
          <w:p w:rsidR="003743CF" w:rsidRDefault="003743CF"/>
        </w:tc>
        <w:tc>
          <w:tcPr>
            <w:tcW w:w="1275" w:type="dxa"/>
            <w:shd w:val="clear" w:color="auto" w:fill="auto"/>
            <w:vAlign w:val="bottom"/>
          </w:tcPr>
          <w:p w:rsidR="003743CF" w:rsidRDefault="003743CF"/>
        </w:tc>
        <w:tc>
          <w:tcPr>
            <w:tcW w:w="1470" w:type="dxa"/>
            <w:shd w:val="clear" w:color="auto" w:fill="auto"/>
            <w:vAlign w:val="bottom"/>
          </w:tcPr>
          <w:p w:rsidR="003743CF" w:rsidRDefault="003743CF"/>
        </w:tc>
        <w:tc>
          <w:tcPr>
            <w:tcW w:w="2100" w:type="dxa"/>
            <w:shd w:val="clear" w:color="auto" w:fill="auto"/>
            <w:vAlign w:val="bottom"/>
          </w:tcPr>
          <w:p w:rsidR="003743CF" w:rsidRDefault="003743CF"/>
        </w:tc>
        <w:tc>
          <w:tcPr>
            <w:tcW w:w="1995" w:type="dxa"/>
            <w:shd w:val="clear" w:color="auto" w:fill="auto"/>
            <w:vAlign w:val="bottom"/>
          </w:tcPr>
          <w:p w:rsidR="003743CF" w:rsidRDefault="003743CF"/>
        </w:tc>
        <w:tc>
          <w:tcPr>
            <w:tcW w:w="1650" w:type="dxa"/>
            <w:shd w:val="clear" w:color="auto" w:fill="auto"/>
            <w:vAlign w:val="bottom"/>
          </w:tcPr>
          <w:p w:rsidR="003743CF" w:rsidRDefault="003743CF"/>
        </w:tc>
        <w:tc>
          <w:tcPr>
            <w:tcW w:w="1905" w:type="dxa"/>
            <w:shd w:val="clear" w:color="auto" w:fill="auto"/>
            <w:vAlign w:val="bottom"/>
          </w:tcPr>
          <w:p w:rsidR="003743CF" w:rsidRDefault="003743CF"/>
        </w:tc>
      </w:tr>
      <w:tr w:rsidR="003743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743CF" w:rsidRDefault="003743CF"/>
        </w:tc>
        <w:tc>
          <w:tcPr>
            <w:tcW w:w="1275" w:type="dxa"/>
            <w:shd w:val="clear" w:color="auto" w:fill="auto"/>
            <w:vAlign w:val="bottom"/>
          </w:tcPr>
          <w:p w:rsidR="003743CF" w:rsidRDefault="003743CF"/>
        </w:tc>
        <w:tc>
          <w:tcPr>
            <w:tcW w:w="1470" w:type="dxa"/>
            <w:shd w:val="clear" w:color="auto" w:fill="auto"/>
            <w:vAlign w:val="bottom"/>
          </w:tcPr>
          <w:p w:rsidR="003743CF" w:rsidRDefault="003743CF"/>
        </w:tc>
        <w:tc>
          <w:tcPr>
            <w:tcW w:w="2100" w:type="dxa"/>
            <w:shd w:val="clear" w:color="auto" w:fill="auto"/>
            <w:vAlign w:val="bottom"/>
          </w:tcPr>
          <w:p w:rsidR="003743CF" w:rsidRDefault="003743CF"/>
        </w:tc>
        <w:tc>
          <w:tcPr>
            <w:tcW w:w="1995" w:type="dxa"/>
            <w:shd w:val="clear" w:color="auto" w:fill="auto"/>
            <w:vAlign w:val="bottom"/>
          </w:tcPr>
          <w:p w:rsidR="003743CF" w:rsidRDefault="003743CF"/>
        </w:tc>
        <w:tc>
          <w:tcPr>
            <w:tcW w:w="1650" w:type="dxa"/>
            <w:shd w:val="clear" w:color="auto" w:fill="auto"/>
            <w:vAlign w:val="bottom"/>
          </w:tcPr>
          <w:p w:rsidR="003743CF" w:rsidRDefault="003743CF"/>
        </w:tc>
        <w:tc>
          <w:tcPr>
            <w:tcW w:w="1905" w:type="dxa"/>
            <w:shd w:val="clear" w:color="auto" w:fill="auto"/>
            <w:vAlign w:val="bottom"/>
          </w:tcPr>
          <w:p w:rsidR="003743CF" w:rsidRDefault="003743CF"/>
        </w:tc>
      </w:tr>
      <w:tr w:rsidR="003743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743CF" w:rsidRDefault="003743CF"/>
        </w:tc>
        <w:tc>
          <w:tcPr>
            <w:tcW w:w="2535" w:type="dxa"/>
            <w:shd w:val="clear" w:color="auto" w:fill="auto"/>
            <w:vAlign w:val="bottom"/>
          </w:tcPr>
          <w:p w:rsidR="003743CF" w:rsidRDefault="003743CF"/>
        </w:tc>
        <w:tc>
          <w:tcPr>
            <w:tcW w:w="3315" w:type="dxa"/>
            <w:shd w:val="clear" w:color="auto" w:fill="auto"/>
            <w:vAlign w:val="bottom"/>
          </w:tcPr>
          <w:p w:rsidR="003743CF" w:rsidRDefault="003743CF"/>
        </w:tc>
        <w:tc>
          <w:tcPr>
            <w:tcW w:w="1125" w:type="dxa"/>
            <w:shd w:val="clear" w:color="auto" w:fill="auto"/>
            <w:vAlign w:val="bottom"/>
          </w:tcPr>
          <w:p w:rsidR="003743CF" w:rsidRDefault="003743CF"/>
        </w:tc>
        <w:tc>
          <w:tcPr>
            <w:tcW w:w="1275" w:type="dxa"/>
            <w:shd w:val="clear" w:color="auto" w:fill="auto"/>
            <w:vAlign w:val="bottom"/>
          </w:tcPr>
          <w:p w:rsidR="003743CF" w:rsidRDefault="003743CF"/>
        </w:tc>
        <w:tc>
          <w:tcPr>
            <w:tcW w:w="1470" w:type="dxa"/>
            <w:shd w:val="clear" w:color="auto" w:fill="auto"/>
            <w:vAlign w:val="bottom"/>
          </w:tcPr>
          <w:p w:rsidR="003743CF" w:rsidRDefault="003743CF"/>
        </w:tc>
        <w:tc>
          <w:tcPr>
            <w:tcW w:w="2100" w:type="dxa"/>
            <w:shd w:val="clear" w:color="auto" w:fill="auto"/>
            <w:vAlign w:val="bottom"/>
          </w:tcPr>
          <w:p w:rsidR="003743CF" w:rsidRDefault="003743CF"/>
        </w:tc>
        <w:tc>
          <w:tcPr>
            <w:tcW w:w="1995" w:type="dxa"/>
            <w:shd w:val="clear" w:color="auto" w:fill="auto"/>
            <w:vAlign w:val="bottom"/>
          </w:tcPr>
          <w:p w:rsidR="003743CF" w:rsidRDefault="003743CF"/>
        </w:tc>
        <w:tc>
          <w:tcPr>
            <w:tcW w:w="1650" w:type="dxa"/>
            <w:shd w:val="clear" w:color="auto" w:fill="auto"/>
            <w:vAlign w:val="bottom"/>
          </w:tcPr>
          <w:p w:rsidR="003743CF" w:rsidRDefault="003743CF"/>
        </w:tc>
        <w:tc>
          <w:tcPr>
            <w:tcW w:w="1905" w:type="dxa"/>
            <w:shd w:val="clear" w:color="auto" w:fill="auto"/>
            <w:vAlign w:val="bottom"/>
          </w:tcPr>
          <w:p w:rsidR="003743CF" w:rsidRDefault="003743CF"/>
        </w:tc>
      </w:tr>
      <w:tr w:rsidR="003743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3743CF" w:rsidRDefault="003743CF"/>
        </w:tc>
        <w:tc>
          <w:tcPr>
            <w:tcW w:w="1650" w:type="dxa"/>
            <w:shd w:val="clear" w:color="auto" w:fill="auto"/>
            <w:vAlign w:val="bottom"/>
          </w:tcPr>
          <w:p w:rsidR="003743CF" w:rsidRDefault="003743CF"/>
        </w:tc>
        <w:tc>
          <w:tcPr>
            <w:tcW w:w="1905" w:type="dxa"/>
            <w:shd w:val="clear" w:color="auto" w:fill="auto"/>
            <w:vAlign w:val="bottom"/>
          </w:tcPr>
          <w:p w:rsidR="003743CF" w:rsidRDefault="003743CF"/>
        </w:tc>
      </w:tr>
      <w:tr w:rsidR="003743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743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743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Буфер для электролитного модуля,4*2000мл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ISE буфер (ISE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ВиРРЕР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4Х2000мл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3743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3743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</w:tr>
      <w:tr w:rsidR="003743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Калибратор для ревматоидного фактора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RF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Calibrator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Latex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Калибратор для ревматоидного фактора 5*1*1мл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3743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3743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</w:tr>
      <w:tr w:rsidR="003743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АЛТ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ALT/GPT (ALANINE AMINOTRANSFERASE),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аланинаминотрансферазу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(АЛТ) 4*50мл +4*25мл. Метод-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реакция  IFCC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упак.4X50мл + 4X25мл, 3920 тестов, стабильность 30  дней, интервал линейности 3 - 500 Е/л, чувствительность метода 1 Е/л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>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3743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3743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</w:tr>
      <w:tr w:rsidR="003743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АСТ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ASТ/GOT (ASPARTATE AMINOTRANSFERASE),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аспартатаминотрансферазу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4*25мл 4*25мл. Метод-IFCC, упак.4X25мл + 4Х25мл, 3920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3-1000 Е/л,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чувствительность метода 1 Е/л,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 М &lt; 35 Е/л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3743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3743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</w:tr>
      <w:tr w:rsidR="003743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ГГТ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GAMMA-GLUTAMYLTRANSFERASE (GGT IFCC),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гаммаглутамилтрансферазу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(ГГТ) 4*40мл +4*40мл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3743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3743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</w:tr>
      <w:tr w:rsidR="003743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определения железа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IRON, Реактив на железо 4*15 мл + 4*15 мл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3743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3743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</w:tr>
      <w:tr w:rsidR="003743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кальция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Вещество или реактив «значение параметра не требует конкретизации», предназначенный для использования совместно с исходным </w:t>
            </w:r>
            <w:r>
              <w:rPr>
                <w:rFonts w:ascii="Times New Roman" w:hAnsi="Times New Roman"/>
                <w:sz w:val="24"/>
                <w:szCs w:val="24"/>
              </w:rPr>
              <w:t>изделием для ИВД для выполнения особой функции в анализе, который используется при количественном определении кальция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calcium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(Ca2+)) в клиническом образце.</w:t>
            </w:r>
          </w:p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выполняемых тестов: 5250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Назначение: Для анализаторов серии AU</w:t>
            </w:r>
          </w:p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Дополнительные </w:t>
            </w:r>
            <w:r>
              <w:rPr>
                <w:rFonts w:ascii="Times New Roman" w:hAnsi="Times New Roman"/>
                <w:sz w:val="24"/>
                <w:szCs w:val="24"/>
              </w:rPr>
              <w:t>характеристики:</w:t>
            </w:r>
          </w:p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Назначение: реагент для количественного определения кальция в сыворотке, плазме и моче 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фотометрическим методом в видимом диапазоне на автоматических биохимических анализаторах. Метод: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арсеназный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стабильность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90  дней «значение параметра не требует конкретизации», линейность  от 1 до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(с полным покрытием диапазона)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сывор</w:t>
            </w:r>
            <w:r>
              <w:rPr>
                <w:rFonts w:ascii="Times New Roman" w:hAnsi="Times New Roman"/>
                <w:sz w:val="24"/>
                <w:szCs w:val="24"/>
              </w:rPr>
              <w:t>тока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 от 0 до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(с полным покрытием диапазона) (моча). Чувствительность метода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0.01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«значение параметра не требует конкретизации» (сыворотка), не менее 0.03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«значение параметра не требует конкретизации» (моча). В упаков</w:t>
            </w:r>
            <w:r>
              <w:rPr>
                <w:rFonts w:ascii="Times New Roman" w:hAnsi="Times New Roman"/>
                <w:sz w:val="24"/>
                <w:szCs w:val="24"/>
              </w:rPr>
              <w:t>ке не менее 4 флаконов по 29 мл. Снабжены штрих-кодами для считывания информации сканером</w:t>
            </w:r>
          </w:p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Совместим с автоматическим биохимическим анализатором AU 680 Не менее 5250 тестов.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3743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3743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</w:tr>
      <w:tr w:rsidR="003743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CREATININE,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4*51мл +4*51мл. Метод- кинетический,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Яффе,  упак.4X51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мл + 4Х51 мл, 3960 тестов, стабильность 14  дней, интервал линейности 18 - 2200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-ка, плазма) 88 - 35360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(моча), чувствительность метода 0.07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3743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3743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</w:tr>
      <w:tr w:rsidR="003743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креатинкиназы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и других связанных с ними материалов, предназначенный для количественного определения общей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креатинкиназы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total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creatine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kinase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CK) в клиническом образце с использованием </w:t>
            </w:r>
            <w:r>
              <w:rPr>
                <w:rFonts w:ascii="Times New Roman" w:hAnsi="Times New Roman"/>
                <w:sz w:val="24"/>
                <w:szCs w:val="24"/>
              </w:rPr>
              <w:t>метода ферментного спектрофотометрического анализа.</w:t>
            </w:r>
          </w:p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выполняемых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тестов:  ≥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500 Штука</w:t>
            </w:r>
          </w:p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Назначение: Для анализаторов открытого типа и ручной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постановкиМетод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Кинетический, УФ, рекомендуемый IFCC/DGKC.  Линейность в диапазоне не уже: 1 Е/л - 1100 Е/</w:t>
            </w:r>
            <w:r>
              <w:rPr>
                <w:rFonts w:ascii="Times New Roman" w:hAnsi="Times New Roman"/>
                <w:sz w:val="24"/>
                <w:szCs w:val="24"/>
              </w:rPr>
              <w:t>л. Чувствительность не более: 1 Е/л. Жидкие стабильные готовые к использованию реагенты. Стабильность: После вскрытия Реагент 1 и Реагент 2 стабильны в течение срока, указанного на этикетке, при температуре от +2°С до +8°С. Рабочий реагент стабилен в течен</w:t>
            </w:r>
            <w:r>
              <w:rPr>
                <w:rFonts w:ascii="Times New Roman" w:hAnsi="Times New Roman"/>
                <w:sz w:val="24"/>
                <w:szCs w:val="24"/>
              </w:rPr>
              <w:t>ие не менее 3 недель при температуре от +2°С до +8°С. Фасовка не менее: 510 мл.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3743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3743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</w:tr>
      <w:tr w:rsidR="003743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Креатинкиназы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МВ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и других связанных с ними материалов, предназначенный для качественного и/или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количественного определения сердечного изофермента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креатинкиназы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(КК-МВ)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creatine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kinase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myocardial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isoenzyme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(CKMB)) в клиническом образце методом ферментного спектрофотометрического анализа.</w:t>
            </w:r>
          </w:p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выполняемых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тестов:  ≥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200 Штука</w:t>
            </w:r>
          </w:p>
          <w:p w:rsidR="003743CF" w:rsidRDefault="00485F27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Назначение: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нализаторов открытого типа и ручной постановки Метод: оптимизированный УФ тест в соответствии с рекомендациями  DGKC/IFCC с ингибированием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антителами. Линейность в диапазоне не уже: 2 -2000 Е/л. Чувствительность не более: 2 Е/л. Жидкие стаб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ильные готовые к использованию реагенты. Стабильность: После вскрытия R1 и R2 стабильны в течение срока, указанного на этикетке при температуре от +2°С до +8°С. Рабочий реагент стабилен не менее 2 недель при температуре от +2°С до +8°С.  Фасовка не менее: </w:t>
            </w:r>
            <w:r>
              <w:rPr>
                <w:rFonts w:ascii="Times New Roman" w:hAnsi="Times New Roman"/>
                <w:sz w:val="24"/>
                <w:szCs w:val="24"/>
              </w:rPr>
              <w:t>125 мл.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3743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3743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</w:tr>
      <w:tr w:rsidR="003743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для определения ЛДГ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LDH (LACTATE DEHYDROGENASE IFCC/GSC),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лактатдегидрогеназу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(ЛДГ) 4*40мл + 4*20мл. Метод- IFCC, упаковка 4 х 40 мл + 4 х 20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мл,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2560 тестов, стабильность   30  дней, диапазонное значение </w:t>
            </w:r>
            <w:r>
              <w:rPr>
                <w:rFonts w:ascii="Times New Roman" w:hAnsi="Times New Roman"/>
                <w:sz w:val="24"/>
                <w:szCs w:val="24"/>
              </w:rPr>
              <w:t>линейности 25 – 1200 Е/л, чувствительность метода 3 Е/л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3743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3743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</w:tr>
      <w:tr w:rsidR="003743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липазы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Липаза (LIPASE), R1- 4X30мл + 4 R1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Lyo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R2- 4X10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  +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 CAL, реагент для определения. Метод- кинетика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колориметрия,  стабильность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  дней, интервал линейности 3-600 Е/л, чувствительность метода 1 Е/л,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 21 - 67 Е/л,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3743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3743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</w:tr>
      <w:tr w:rsidR="003743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ЛПВП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HDL-CHOLESTEROL, Реактив на липопротеины высокой плотности 4*51,3мл + 4*17,1мл на </w:t>
            </w:r>
            <w:r>
              <w:rPr>
                <w:rFonts w:ascii="Times New Roman" w:hAnsi="Times New Roman"/>
                <w:sz w:val="24"/>
                <w:szCs w:val="24"/>
              </w:rPr>
              <w:t>1400 тестов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3743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3743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</w:tr>
      <w:tr w:rsidR="003743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магния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MAGNESIUM, Реактив на магний 4*40мл. Метод-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ксилидилголубой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упак.4X40мл, 1000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14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0.2 - 3.3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-ка) 0.2 - 9.25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(моча), чувствительность метода 0.01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-ка) 0.02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(моча)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3743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3743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</w:tr>
      <w:tr w:rsidR="003743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для определения мочевины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Реагент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определения мочевины Метод- кинетика, GLDH,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4X53мл + 4X53 мл, 4920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линейности 0.8 - 50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-ка, плазма) 10 - 750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(моча), чувствительность метода 0.38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-ка) 5.71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(моча)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3743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3743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</w:tr>
      <w:tr w:rsidR="003743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мочевой кислоты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URIC ACID, Реактив на мочевую кислоту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4*30мл + 4*12,5мл. Метод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уриказа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PAP, упак.4X30мл + 4X12,5 мл, 2500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 89 - 1785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-ка) 119 - 23800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(моча), чувствительность метода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3743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3743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</w:tr>
      <w:tr w:rsidR="003743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прямого билирубина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DIREKT BILIRUBIN, реактив на прямой билирубин 4*20мл +4*20мл. Метод - DCB-TFB, упак.4X20 мл + 4Х20 мл, 3120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21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0 - 171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чувствительность метода 0,24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 &lt;  3,4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3743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3743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</w:tr>
      <w:tr w:rsidR="003743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ферритина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FERRITIN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Plasma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ферритин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(Плазма) 4X24мл + 4X12мл, реагент для определения. Метод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иммуно-турбидиметрия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4X24мл + 4X12мл, </w:t>
            </w:r>
            <w:r>
              <w:rPr>
                <w:rFonts w:ascii="Times New Roman" w:hAnsi="Times New Roman"/>
                <w:sz w:val="24"/>
                <w:szCs w:val="24"/>
              </w:rPr>
              <w:t>800 тестов, стабильность 60 дней интервал линейности 8 - 450 мкг/л, чувствительность метода 5.47 мкг/л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3743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3743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</w:tr>
      <w:tr w:rsidR="003743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фосфора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INORGANIC PHOSPHORUS, Реактив на неорганический фосфор 4*15мл + 4*15мл.Метод-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фосформолибдатный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упак.4X15мл + 4Х15 мл, 2360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0.32 - 6.4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-ка) 0 - 113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(моча), чувствительность метода 0.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3743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3743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</w:tr>
      <w:tr w:rsidR="003743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холестерина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реагентов для определения холестерина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энзиматическим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колориметрическим методом 4*250 мл.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3743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3743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</w:tr>
      <w:tr w:rsidR="003743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церулоплазмина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CERULOPLASMIN,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церулоплазмин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4*18 мл + 4*5 мл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3743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3743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</w:tr>
      <w:tr w:rsidR="003743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t>альбумина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альбумина Метод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бромкризоловым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зеленым, колориметрический по конечной точке.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Монореактив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,200мл.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3743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3743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</w:tr>
      <w:tr w:rsidR="003743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определения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Микроальбумина</w:t>
            </w:r>
            <w:proofErr w:type="spellEnd"/>
            <w:proofErr w:type="gram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метод-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516 тестов,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стабильность не менее 60  дней, диапазон линейности 5-300 мг/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л,аналитический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диапазон: моча 7-450 мг/л, СМЖ 10-450 мг/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4Х32,6 мл; 4Х4,4 мл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3743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3743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</w:tr>
      <w:tr w:rsidR="003743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содержания глюкозы в сыворотке (плазме) крови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"Реагент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количественного определения глюкозы в сыворотке, плазме и моче. Метод: колориметрический,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глюкозооксидазный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λ=500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Линейность до 22.2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(400 мг/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Чувствительность - 0.013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/л. Состав: R1. фосфатный буфер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7.0, MOPS буфер - 50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рН 7.0,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фенол  11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4-аминофеназон 0.77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глюкозоксидаза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≥1.5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пероксидаза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≥1.5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/л. Стандарт - глюкоза - лот специфичная. Стабильность: реактив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cтабилен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течение срока, указанного на этикетке при температуре от +2°С до +8°</w:t>
            </w:r>
            <w:r>
              <w:rPr>
                <w:rFonts w:ascii="Times New Roman" w:hAnsi="Times New Roman"/>
                <w:sz w:val="24"/>
                <w:szCs w:val="24"/>
              </w:rPr>
              <w:t>С. Фасовка: R1 - 2х500 мл, Стандарт - 1х5,5 мл.</w:t>
            </w:r>
          </w:p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"                                                              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3743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3743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</w:tr>
      <w:tr w:rsidR="003743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Ненасыщенной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железосвязывающей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способности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UBIC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Unsaturated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Iron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Binding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Capacity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Реактив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железосвязывающую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способность (НЖСС) 4*27мл + 4*3мл + 4*6мл + 4*2мл. Метод-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нитрозо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-PSAP,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4X27 + 4X3мл +4X6мл + 4Х2, 800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10 - 100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чувствительность метода  2.3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3743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3743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</w:tr>
      <w:tr w:rsidR="003743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общего белка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белок (набор для определения общего белка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биуретовый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метод),1000 мл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3743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3743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</w:tr>
      <w:tr w:rsidR="003743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ревматоидного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Ревматоидный фактор (РФ) (латекс) (RF LATEX), 4Х24мл + 4Х8мл,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определения. Метод-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упак.4X24 мл + 4Х8 мл,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90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интервал линейности 5 - 120 МЕ/л, чувствительность метода 1.42 МЕ/л (AU640) 2.22 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3743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3743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</w:tr>
      <w:tr w:rsidR="003743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для определения триглицеридов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для 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концентрации триглицеридов в сыворотке и плазме крови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энзиматическим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колориметрическим методом, не менее 200 мл. Чувствительность не менее 0,5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линейность не менее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/л, коэффициент вариации не более 5%, время реакции 10 мин., длина волны 505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температура инкубации 20-25°С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3743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3743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</w:tr>
      <w:tr w:rsidR="003743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щелочной 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зы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ALP (ALKALINE PHOSPHATASE), Реактив на щелочную фосфатазу 4X30мл + 4X30мл. Метод-реакция   IFCC AMP-буфер, упак.4X30мл + 4Х30мл, 3280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14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5-1500 Е/л, чувствительность метода 1 Е/л,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 30-120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3743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3743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</w:tr>
      <w:tr w:rsidR="003743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на общий билирубин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TOTAL BILIRUBIN, Реактив на общий билирубин 4X40мл + 4X40мл. Метод-DPD-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TFB,  упаковка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4X40мл + 4X40мл,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количество  тестов 6200 стабильность 30  дней, интервал линейности 0-513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чувствительность метода 0.39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 5-21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3743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3743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</w:tr>
      <w:tr w:rsidR="003743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Очищающий раствор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Pr="00485F27" w:rsidRDefault="00485F2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Очищающий</w:t>
            </w:r>
            <w:r w:rsidRPr="00485F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раствор</w:t>
            </w:r>
            <w:r w:rsidRPr="00485F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(CLEANING SOLUTION), 6X500</w:t>
            </w:r>
            <w:r>
              <w:rPr>
                <w:rFonts w:ascii="Times New Roman" w:hAnsi="Times New Roman"/>
                <w:sz w:val="24"/>
                <w:szCs w:val="24"/>
              </w:rPr>
              <w:t>мл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3743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3743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</w:tr>
      <w:tr w:rsidR="003743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Раствор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промывочный 6Х2000мл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Промывочный раствор (WASH SOLUTION), 6Х2000мл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3743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3743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</w:tr>
      <w:tr w:rsidR="003743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модуля электролитов, 4Х1000 мл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 (ISE) (ISE REFERENCE), 4Х1000 мл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3743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3743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</w:tr>
      <w:tr w:rsidR="003743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Трансферрина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(TRANSFERRIN)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трасферрина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метод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иммуно-турбидиметрия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менее 1080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тестов,  стабильность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дней,линейность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0,75 -7,5 г/л ,  чувствительность метода 0,01 г/л,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  0.75 -7.5 г/л В упаковке 4X7мл + 4X8мл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3743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3743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</w:tr>
      <w:tr w:rsidR="003743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СРБ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СРБ. Метод-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Общий объем фасовки 48мл.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1-2 флакона по 20 мл, R2 1 флакон 8 мл.). Возможность проведения исследований на анализаторе AU 680.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3743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3743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</w:tr>
      <w:tr w:rsidR="003743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Стандарт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средний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модуля электролитов, 4Х2000 мл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Средний стандарт (ISE) (ISE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Standard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4Х2000 мл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48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3743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43CF" w:rsidRDefault="003743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43CF" w:rsidRDefault="003743CF"/>
        </w:tc>
      </w:tr>
      <w:tr w:rsidR="003743C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3743CF" w:rsidRDefault="003743CF"/>
        </w:tc>
        <w:tc>
          <w:tcPr>
            <w:tcW w:w="2535" w:type="dxa"/>
            <w:shd w:val="clear" w:color="auto" w:fill="auto"/>
            <w:vAlign w:val="bottom"/>
          </w:tcPr>
          <w:p w:rsidR="003743CF" w:rsidRDefault="003743CF"/>
        </w:tc>
        <w:tc>
          <w:tcPr>
            <w:tcW w:w="3315" w:type="dxa"/>
            <w:shd w:val="clear" w:color="auto" w:fill="auto"/>
            <w:vAlign w:val="bottom"/>
          </w:tcPr>
          <w:p w:rsidR="003743CF" w:rsidRDefault="003743CF"/>
        </w:tc>
        <w:tc>
          <w:tcPr>
            <w:tcW w:w="1125" w:type="dxa"/>
            <w:shd w:val="clear" w:color="auto" w:fill="auto"/>
            <w:vAlign w:val="bottom"/>
          </w:tcPr>
          <w:p w:rsidR="003743CF" w:rsidRDefault="003743CF"/>
        </w:tc>
        <w:tc>
          <w:tcPr>
            <w:tcW w:w="1275" w:type="dxa"/>
            <w:shd w:val="clear" w:color="auto" w:fill="auto"/>
            <w:vAlign w:val="bottom"/>
          </w:tcPr>
          <w:p w:rsidR="003743CF" w:rsidRDefault="003743CF"/>
        </w:tc>
        <w:tc>
          <w:tcPr>
            <w:tcW w:w="1470" w:type="dxa"/>
            <w:shd w:val="clear" w:color="auto" w:fill="auto"/>
            <w:vAlign w:val="bottom"/>
          </w:tcPr>
          <w:p w:rsidR="003743CF" w:rsidRDefault="003743CF"/>
        </w:tc>
        <w:tc>
          <w:tcPr>
            <w:tcW w:w="2100" w:type="dxa"/>
            <w:shd w:val="clear" w:color="auto" w:fill="auto"/>
            <w:vAlign w:val="bottom"/>
          </w:tcPr>
          <w:p w:rsidR="003743CF" w:rsidRDefault="003743CF"/>
        </w:tc>
        <w:tc>
          <w:tcPr>
            <w:tcW w:w="1995" w:type="dxa"/>
            <w:shd w:val="clear" w:color="auto" w:fill="auto"/>
            <w:vAlign w:val="bottom"/>
          </w:tcPr>
          <w:p w:rsidR="003743CF" w:rsidRDefault="003743CF"/>
        </w:tc>
        <w:tc>
          <w:tcPr>
            <w:tcW w:w="1650" w:type="dxa"/>
            <w:shd w:val="clear" w:color="auto" w:fill="auto"/>
            <w:vAlign w:val="bottom"/>
          </w:tcPr>
          <w:p w:rsidR="003743CF" w:rsidRDefault="003743CF"/>
        </w:tc>
        <w:tc>
          <w:tcPr>
            <w:tcW w:w="1905" w:type="dxa"/>
            <w:shd w:val="clear" w:color="auto" w:fill="auto"/>
            <w:vAlign w:val="bottom"/>
          </w:tcPr>
          <w:p w:rsidR="003743CF" w:rsidRDefault="003743CF"/>
        </w:tc>
      </w:tr>
      <w:tr w:rsidR="003743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743CF" w:rsidRDefault="00485F27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3743C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743CF" w:rsidRDefault="003743CF"/>
        </w:tc>
        <w:tc>
          <w:tcPr>
            <w:tcW w:w="2535" w:type="dxa"/>
            <w:shd w:val="clear" w:color="auto" w:fill="auto"/>
            <w:vAlign w:val="bottom"/>
          </w:tcPr>
          <w:p w:rsidR="003743CF" w:rsidRDefault="003743CF"/>
        </w:tc>
        <w:tc>
          <w:tcPr>
            <w:tcW w:w="3315" w:type="dxa"/>
            <w:shd w:val="clear" w:color="auto" w:fill="auto"/>
            <w:vAlign w:val="bottom"/>
          </w:tcPr>
          <w:p w:rsidR="003743CF" w:rsidRDefault="003743CF"/>
        </w:tc>
        <w:tc>
          <w:tcPr>
            <w:tcW w:w="1125" w:type="dxa"/>
            <w:shd w:val="clear" w:color="auto" w:fill="auto"/>
            <w:vAlign w:val="bottom"/>
          </w:tcPr>
          <w:p w:rsidR="003743CF" w:rsidRDefault="003743CF"/>
        </w:tc>
        <w:tc>
          <w:tcPr>
            <w:tcW w:w="1275" w:type="dxa"/>
            <w:shd w:val="clear" w:color="auto" w:fill="auto"/>
            <w:vAlign w:val="bottom"/>
          </w:tcPr>
          <w:p w:rsidR="003743CF" w:rsidRDefault="003743CF"/>
        </w:tc>
        <w:tc>
          <w:tcPr>
            <w:tcW w:w="1470" w:type="dxa"/>
            <w:shd w:val="clear" w:color="auto" w:fill="auto"/>
            <w:vAlign w:val="bottom"/>
          </w:tcPr>
          <w:p w:rsidR="003743CF" w:rsidRDefault="003743CF"/>
        </w:tc>
        <w:tc>
          <w:tcPr>
            <w:tcW w:w="2100" w:type="dxa"/>
            <w:shd w:val="clear" w:color="auto" w:fill="auto"/>
            <w:vAlign w:val="bottom"/>
          </w:tcPr>
          <w:p w:rsidR="003743CF" w:rsidRDefault="003743CF"/>
        </w:tc>
        <w:tc>
          <w:tcPr>
            <w:tcW w:w="1995" w:type="dxa"/>
            <w:shd w:val="clear" w:color="auto" w:fill="auto"/>
            <w:vAlign w:val="bottom"/>
          </w:tcPr>
          <w:p w:rsidR="003743CF" w:rsidRDefault="003743CF"/>
        </w:tc>
        <w:tc>
          <w:tcPr>
            <w:tcW w:w="1650" w:type="dxa"/>
            <w:shd w:val="clear" w:color="auto" w:fill="auto"/>
            <w:vAlign w:val="bottom"/>
          </w:tcPr>
          <w:p w:rsidR="003743CF" w:rsidRDefault="003743CF"/>
        </w:tc>
        <w:tc>
          <w:tcPr>
            <w:tcW w:w="1905" w:type="dxa"/>
            <w:shd w:val="clear" w:color="auto" w:fill="auto"/>
            <w:vAlign w:val="bottom"/>
          </w:tcPr>
          <w:p w:rsidR="003743CF" w:rsidRDefault="003743CF"/>
        </w:tc>
      </w:tr>
      <w:tr w:rsidR="003743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743CF" w:rsidRDefault="00485F2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743C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743CF" w:rsidRDefault="003743CF"/>
        </w:tc>
        <w:tc>
          <w:tcPr>
            <w:tcW w:w="2535" w:type="dxa"/>
            <w:shd w:val="clear" w:color="auto" w:fill="auto"/>
            <w:vAlign w:val="bottom"/>
          </w:tcPr>
          <w:p w:rsidR="003743CF" w:rsidRDefault="003743CF"/>
        </w:tc>
        <w:tc>
          <w:tcPr>
            <w:tcW w:w="3315" w:type="dxa"/>
            <w:shd w:val="clear" w:color="auto" w:fill="auto"/>
            <w:vAlign w:val="bottom"/>
          </w:tcPr>
          <w:p w:rsidR="003743CF" w:rsidRDefault="003743CF"/>
        </w:tc>
        <w:tc>
          <w:tcPr>
            <w:tcW w:w="1125" w:type="dxa"/>
            <w:shd w:val="clear" w:color="auto" w:fill="auto"/>
            <w:vAlign w:val="bottom"/>
          </w:tcPr>
          <w:p w:rsidR="003743CF" w:rsidRDefault="003743CF"/>
        </w:tc>
        <w:tc>
          <w:tcPr>
            <w:tcW w:w="1275" w:type="dxa"/>
            <w:shd w:val="clear" w:color="auto" w:fill="auto"/>
            <w:vAlign w:val="bottom"/>
          </w:tcPr>
          <w:p w:rsidR="003743CF" w:rsidRDefault="003743CF"/>
        </w:tc>
        <w:tc>
          <w:tcPr>
            <w:tcW w:w="1470" w:type="dxa"/>
            <w:shd w:val="clear" w:color="auto" w:fill="auto"/>
            <w:vAlign w:val="bottom"/>
          </w:tcPr>
          <w:p w:rsidR="003743CF" w:rsidRDefault="003743CF"/>
        </w:tc>
        <w:tc>
          <w:tcPr>
            <w:tcW w:w="2100" w:type="dxa"/>
            <w:shd w:val="clear" w:color="auto" w:fill="auto"/>
            <w:vAlign w:val="bottom"/>
          </w:tcPr>
          <w:p w:rsidR="003743CF" w:rsidRDefault="003743CF"/>
        </w:tc>
        <w:tc>
          <w:tcPr>
            <w:tcW w:w="1995" w:type="dxa"/>
            <w:shd w:val="clear" w:color="auto" w:fill="auto"/>
            <w:vAlign w:val="bottom"/>
          </w:tcPr>
          <w:p w:rsidR="003743CF" w:rsidRDefault="003743CF"/>
        </w:tc>
        <w:tc>
          <w:tcPr>
            <w:tcW w:w="1650" w:type="dxa"/>
            <w:shd w:val="clear" w:color="auto" w:fill="auto"/>
            <w:vAlign w:val="bottom"/>
          </w:tcPr>
          <w:p w:rsidR="003743CF" w:rsidRDefault="003743CF"/>
        </w:tc>
        <w:tc>
          <w:tcPr>
            <w:tcW w:w="1905" w:type="dxa"/>
            <w:shd w:val="clear" w:color="auto" w:fill="auto"/>
            <w:vAlign w:val="bottom"/>
          </w:tcPr>
          <w:p w:rsidR="003743CF" w:rsidRDefault="003743CF"/>
        </w:tc>
      </w:tr>
      <w:tr w:rsidR="003743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743CF" w:rsidRDefault="00485F2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3743C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3743CF" w:rsidRDefault="003743CF"/>
        </w:tc>
        <w:tc>
          <w:tcPr>
            <w:tcW w:w="2535" w:type="dxa"/>
            <w:shd w:val="clear" w:color="auto" w:fill="auto"/>
            <w:vAlign w:val="bottom"/>
          </w:tcPr>
          <w:p w:rsidR="003743CF" w:rsidRDefault="003743CF"/>
        </w:tc>
        <w:tc>
          <w:tcPr>
            <w:tcW w:w="3315" w:type="dxa"/>
            <w:shd w:val="clear" w:color="auto" w:fill="auto"/>
            <w:vAlign w:val="bottom"/>
          </w:tcPr>
          <w:p w:rsidR="003743CF" w:rsidRDefault="003743CF"/>
        </w:tc>
        <w:tc>
          <w:tcPr>
            <w:tcW w:w="1125" w:type="dxa"/>
            <w:shd w:val="clear" w:color="auto" w:fill="auto"/>
            <w:vAlign w:val="bottom"/>
          </w:tcPr>
          <w:p w:rsidR="003743CF" w:rsidRDefault="003743CF"/>
        </w:tc>
        <w:tc>
          <w:tcPr>
            <w:tcW w:w="1275" w:type="dxa"/>
            <w:shd w:val="clear" w:color="auto" w:fill="auto"/>
            <w:vAlign w:val="bottom"/>
          </w:tcPr>
          <w:p w:rsidR="003743CF" w:rsidRDefault="003743CF"/>
        </w:tc>
        <w:tc>
          <w:tcPr>
            <w:tcW w:w="1470" w:type="dxa"/>
            <w:shd w:val="clear" w:color="auto" w:fill="auto"/>
            <w:vAlign w:val="bottom"/>
          </w:tcPr>
          <w:p w:rsidR="003743CF" w:rsidRDefault="003743CF"/>
        </w:tc>
        <w:tc>
          <w:tcPr>
            <w:tcW w:w="2100" w:type="dxa"/>
            <w:shd w:val="clear" w:color="auto" w:fill="auto"/>
            <w:vAlign w:val="bottom"/>
          </w:tcPr>
          <w:p w:rsidR="003743CF" w:rsidRDefault="003743CF"/>
        </w:tc>
        <w:tc>
          <w:tcPr>
            <w:tcW w:w="1995" w:type="dxa"/>
            <w:shd w:val="clear" w:color="auto" w:fill="auto"/>
            <w:vAlign w:val="bottom"/>
          </w:tcPr>
          <w:p w:rsidR="003743CF" w:rsidRDefault="003743CF"/>
        </w:tc>
        <w:tc>
          <w:tcPr>
            <w:tcW w:w="1650" w:type="dxa"/>
            <w:shd w:val="clear" w:color="auto" w:fill="auto"/>
            <w:vAlign w:val="bottom"/>
          </w:tcPr>
          <w:p w:rsidR="003743CF" w:rsidRDefault="003743CF"/>
        </w:tc>
        <w:tc>
          <w:tcPr>
            <w:tcW w:w="1905" w:type="dxa"/>
            <w:shd w:val="clear" w:color="auto" w:fill="auto"/>
            <w:vAlign w:val="bottom"/>
          </w:tcPr>
          <w:p w:rsidR="003743CF" w:rsidRDefault="003743CF"/>
        </w:tc>
      </w:tr>
      <w:tr w:rsidR="003743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743CF" w:rsidRDefault="00485F27" w:rsidP="00485F27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.02.2023 17:00:00 по местному времени. </w:t>
            </w:r>
          </w:p>
        </w:tc>
      </w:tr>
      <w:tr w:rsidR="003743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743CF" w:rsidRDefault="003743CF"/>
        </w:tc>
        <w:tc>
          <w:tcPr>
            <w:tcW w:w="2535" w:type="dxa"/>
            <w:shd w:val="clear" w:color="auto" w:fill="auto"/>
            <w:vAlign w:val="bottom"/>
          </w:tcPr>
          <w:p w:rsidR="003743CF" w:rsidRDefault="003743CF"/>
        </w:tc>
        <w:tc>
          <w:tcPr>
            <w:tcW w:w="3315" w:type="dxa"/>
            <w:shd w:val="clear" w:color="auto" w:fill="auto"/>
            <w:vAlign w:val="bottom"/>
          </w:tcPr>
          <w:p w:rsidR="003743CF" w:rsidRDefault="003743CF"/>
        </w:tc>
        <w:tc>
          <w:tcPr>
            <w:tcW w:w="1125" w:type="dxa"/>
            <w:shd w:val="clear" w:color="auto" w:fill="auto"/>
            <w:vAlign w:val="bottom"/>
          </w:tcPr>
          <w:p w:rsidR="003743CF" w:rsidRDefault="003743CF"/>
        </w:tc>
        <w:tc>
          <w:tcPr>
            <w:tcW w:w="1275" w:type="dxa"/>
            <w:shd w:val="clear" w:color="auto" w:fill="auto"/>
            <w:vAlign w:val="bottom"/>
          </w:tcPr>
          <w:p w:rsidR="003743CF" w:rsidRDefault="003743CF"/>
        </w:tc>
        <w:tc>
          <w:tcPr>
            <w:tcW w:w="1470" w:type="dxa"/>
            <w:shd w:val="clear" w:color="auto" w:fill="auto"/>
            <w:vAlign w:val="bottom"/>
          </w:tcPr>
          <w:p w:rsidR="003743CF" w:rsidRDefault="003743CF"/>
        </w:tc>
        <w:tc>
          <w:tcPr>
            <w:tcW w:w="2100" w:type="dxa"/>
            <w:shd w:val="clear" w:color="auto" w:fill="auto"/>
            <w:vAlign w:val="bottom"/>
          </w:tcPr>
          <w:p w:rsidR="003743CF" w:rsidRDefault="003743CF"/>
        </w:tc>
        <w:tc>
          <w:tcPr>
            <w:tcW w:w="1995" w:type="dxa"/>
            <w:shd w:val="clear" w:color="auto" w:fill="auto"/>
            <w:vAlign w:val="bottom"/>
          </w:tcPr>
          <w:p w:rsidR="003743CF" w:rsidRDefault="003743CF"/>
        </w:tc>
        <w:tc>
          <w:tcPr>
            <w:tcW w:w="1650" w:type="dxa"/>
            <w:shd w:val="clear" w:color="auto" w:fill="auto"/>
            <w:vAlign w:val="bottom"/>
          </w:tcPr>
          <w:p w:rsidR="003743CF" w:rsidRDefault="003743CF"/>
        </w:tc>
        <w:tc>
          <w:tcPr>
            <w:tcW w:w="1905" w:type="dxa"/>
            <w:shd w:val="clear" w:color="auto" w:fill="auto"/>
            <w:vAlign w:val="bottom"/>
          </w:tcPr>
          <w:p w:rsidR="003743CF" w:rsidRDefault="003743CF"/>
        </w:tc>
      </w:tr>
      <w:tr w:rsidR="003743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743CF" w:rsidRDefault="00485F27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743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743CF" w:rsidRDefault="003743CF"/>
        </w:tc>
        <w:tc>
          <w:tcPr>
            <w:tcW w:w="2535" w:type="dxa"/>
            <w:shd w:val="clear" w:color="auto" w:fill="auto"/>
            <w:vAlign w:val="bottom"/>
          </w:tcPr>
          <w:p w:rsidR="003743CF" w:rsidRDefault="003743CF"/>
        </w:tc>
        <w:tc>
          <w:tcPr>
            <w:tcW w:w="3315" w:type="dxa"/>
            <w:shd w:val="clear" w:color="auto" w:fill="auto"/>
            <w:vAlign w:val="bottom"/>
          </w:tcPr>
          <w:p w:rsidR="003743CF" w:rsidRDefault="003743CF"/>
        </w:tc>
        <w:tc>
          <w:tcPr>
            <w:tcW w:w="1125" w:type="dxa"/>
            <w:shd w:val="clear" w:color="auto" w:fill="auto"/>
            <w:vAlign w:val="bottom"/>
          </w:tcPr>
          <w:p w:rsidR="003743CF" w:rsidRDefault="003743CF"/>
        </w:tc>
        <w:tc>
          <w:tcPr>
            <w:tcW w:w="1275" w:type="dxa"/>
            <w:shd w:val="clear" w:color="auto" w:fill="auto"/>
            <w:vAlign w:val="bottom"/>
          </w:tcPr>
          <w:p w:rsidR="003743CF" w:rsidRDefault="003743CF"/>
        </w:tc>
        <w:tc>
          <w:tcPr>
            <w:tcW w:w="1470" w:type="dxa"/>
            <w:shd w:val="clear" w:color="auto" w:fill="auto"/>
            <w:vAlign w:val="bottom"/>
          </w:tcPr>
          <w:p w:rsidR="003743CF" w:rsidRDefault="003743CF"/>
        </w:tc>
        <w:tc>
          <w:tcPr>
            <w:tcW w:w="2100" w:type="dxa"/>
            <w:shd w:val="clear" w:color="auto" w:fill="auto"/>
            <w:vAlign w:val="bottom"/>
          </w:tcPr>
          <w:p w:rsidR="003743CF" w:rsidRDefault="003743CF"/>
        </w:tc>
        <w:tc>
          <w:tcPr>
            <w:tcW w:w="1995" w:type="dxa"/>
            <w:shd w:val="clear" w:color="auto" w:fill="auto"/>
            <w:vAlign w:val="bottom"/>
          </w:tcPr>
          <w:p w:rsidR="003743CF" w:rsidRDefault="003743CF"/>
        </w:tc>
        <w:tc>
          <w:tcPr>
            <w:tcW w:w="1650" w:type="dxa"/>
            <w:shd w:val="clear" w:color="auto" w:fill="auto"/>
            <w:vAlign w:val="bottom"/>
          </w:tcPr>
          <w:p w:rsidR="003743CF" w:rsidRDefault="003743CF"/>
        </w:tc>
        <w:tc>
          <w:tcPr>
            <w:tcW w:w="1905" w:type="dxa"/>
            <w:shd w:val="clear" w:color="auto" w:fill="auto"/>
            <w:vAlign w:val="bottom"/>
          </w:tcPr>
          <w:p w:rsidR="003743CF" w:rsidRDefault="003743CF"/>
        </w:tc>
      </w:tr>
      <w:tr w:rsidR="003743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743CF" w:rsidRDefault="003743CF"/>
        </w:tc>
        <w:tc>
          <w:tcPr>
            <w:tcW w:w="2535" w:type="dxa"/>
            <w:shd w:val="clear" w:color="auto" w:fill="auto"/>
            <w:vAlign w:val="bottom"/>
          </w:tcPr>
          <w:p w:rsidR="003743CF" w:rsidRDefault="003743CF"/>
        </w:tc>
        <w:tc>
          <w:tcPr>
            <w:tcW w:w="3315" w:type="dxa"/>
            <w:shd w:val="clear" w:color="auto" w:fill="auto"/>
            <w:vAlign w:val="bottom"/>
          </w:tcPr>
          <w:p w:rsidR="003743CF" w:rsidRDefault="003743CF"/>
        </w:tc>
        <w:tc>
          <w:tcPr>
            <w:tcW w:w="1125" w:type="dxa"/>
            <w:shd w:val="clear" w:color="auto" w:fill="auto"/>
            <w:vAlign w:val="bottom"/>
          </w:tcPr>
          <w:p w:rsidR="003743CF" w:rsidRDefault="003743CF"/>
        </w:tc>
        <w:tc>
          <w:tcPr>
            <w:tcW w:w="1275" w:type="dxa"/>
            <w:shd w:val="clear" w:color="auto" w:fill="auto"/>
            <w:vAlign w:val="bottom"/>
          </w:tcPr>
          <w:p w:rsidR="003743CF" w:rsidRDefault="003743CF"/>
        </w:tc>
        <w:tc>
          <w:tcPr>
            <w:tcW w:w="1470" w:type="dxa"/>
            <w:shd w:val="clear" w:color="auto" w:fill="auto"/>
            <w:vAlign w:val="bottom"/>
          </w:tcPr>
          <w:p w:rsidR="003743CF" w:rsidRDefault="003743CF"/>
        </w:tc>
        <w:tc>
          <w:tcPr>
            <w:tcW w:w="2100" w:type="dxa"/>
            <w:shd w:val="clear" w:color="auto" w:fill="auto"/>
            <w:vAlign w:val="bottom"/>
          </w:tcPr>
          <w:p w:rsidR="003743CF" w:rsidRDefault="003743CF"/>
        </w:tc>
        <w:tc>
          <w:tcPr>
            <w:tcW w:w="1995" w:type="dxa"/>
            <w:shd w:val="clear" w:color="auto" w:fill="auto"/>
            <w:vAlign w:val="bottom"/>
          </w:tcPr>
          <w:p w:rsidR="003743CF" w:rsidRDefault="003743CF"/>
        </w:tc>
        <w:tc>
          <w:tcPr>
            <w:tcW w:w="1650" w:type="dxa"/>
            <w:shd w:val="clear" w:color="auto" w:fill="auto"/>
            <w:vAlign w:val="bottom"/>
          </w:tcPr>
          <w:p w:rsidR="003743CF" w:rsidRDefault="003743CF"/>
        </w:tc>
        <w:tc>
          <w:tcPr>
            <w:tcW w:w="1905" w:type="dxa"/>
            <w:shd w:val="clear" w:color="auto" w:fill="auto"/>
            <w:vAlign w:val="bottom"/>
          </w:tcPr>
          <w:p w:rsidR="003743CF" w:rsidRDefault="003743CF"/>
        </w:tc>
      </w:tr>
      <w:tr w:rsidR="003743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743CF" w:rsidRDefault="003743CF"/>
        </w:tc>
        <w:tc>
          <w:tcPr>
            <w:tcW w:w="2535" w:type="dxa"/>
            <w:shd w:val="clear" w:color="auto" w:fill="auto"/>
            <w:vAlign w:val="bottom"/>
          </w:tcPr>
          <w:p w:rsidR="003743CF" w:rsidRDefault="003743CF"/>
        </w:tc>
        <w:tc>
          <w:tcPr>
            <w:tcW w:w="3315" w:type="dxa"/>
            <w:shd w:val="clear" w:color="auto" w:fill="auto"/>
            <w:vAlign w:val="bottom"/>
          </w:tcPr>
          <w:p w:rsidR="003743CF" w:rsidRDefault="003743CF"/>
        </w:tc>
        <w:tc>
          <w:tcPr>
            <w:tcW w:w="1125" w:type="dxa"/>
            <w:shd w:val="clear" w:color="auto" w:fill="auto"/>
            <w:vAlign w:val="bottom"/>
          </w:tcPr>
          <w:p w:rsidR="003743CF" w:rsidRDefault="003743CF"/>
        </w:tc>
        <w:tc>
          <w:tcPr>
            <w:tcW w:w="1275" w:type="dxa"/>
            <w:shd w:val="clear" w:color="auto" w:fill="auto"/>
            <w:vAlign w:val="bottom"/>
          </w:tcPr>
          <w:p w:rsidR="003743CF" w:rsidRDefault="003743CF"/>
        </w:tc>
        <w:tc>
          <w:tcPr>
            <w:tcW w:w="1470" w:type="dxa"/>
            <w:shd w:val="clear" w:color="auto" w:fill="auto"/>
            <w:vAlign w:val="bottom"/>
          </w:tcPr>
          <w:p w:rsidR="003743CF" w:rsidRDefault="003743CF"/>
        </w:tc>
        <w:tc>
          <w:tcPr>
            <w:tcW w:w="2100" w:type="dxa"/>
            <w:shd w:val="clear" w:color="auto" w:fill="auto"/>
            <w:vAlign w:val="bottom"/>
          </w:tcPr>
          <w:p w:rsidR="003743CF" w:rsidRDefault="003743CF"/>
        </w:tc>
        <w:tc>
          <w:tcPr>
            <w:tcW w:w="1995" w:type="dxa"/>
            <w:shd w:val="clear" w:color="auto" w:fill="auto"/>
            <w:vAlign w:val="bottom"/>
          </w:tcPr>
          <w:p w:rsidR="003743CF" w:rsidRDefault="003743CF"/>
        </w:tc>
        <w:tc>
          <w:tcPr>
            <w:tcW w:w="1650" w:type="dxa"/>
            <w:shd w:val="clear" w:color="auto" w:fill="auto"/>
            <w:vAlign w:val="bottom"/>
          </w:tcPr>
          <w:p w:rsidR="003743CF" w:rsidRDefault="003743CF"/>
        </w:tc>
        <w:tc>
          <w:tcPr>
            <w:tcW w:w="1905" w:type="dxa"/>
            <w:shd w:val="clear" w:color="auto" w:fill="auto"/>
            <w:vAlign w:val="bottom"/>
          </w:tcPr>
          <w:p w:rsidR="003743CF" w:rsidRDefault="003743CF"/>
        </w:tc>
      </w:tr>
      <w:tr w:rsidR="003743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743CF" w:rsidRDefault="00485F27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743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743CF" w:rsidRDefault="00485F27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485F2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43CF"/>
    <w:rsid w:val="003743CF"/>
    <w:rsid w:val="0048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0B856-83F9-41CC-BFFA-9476F621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1952</Words>
  <Characters>11128</Characters>
  <Application>Microsoft Office Word</Application>
  <DocSecurity>0</DocSecurity>
  <Lines>92</Lines>
  <Paragraphs>26</Paragraphs>
  <ScaleCrop>false</ScaleCrop>
  <Company/>
  <LinksUpToDate>false</LinksUpToDate>
  <CharactersWithSpaces>13054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2023-02-03T07:19:00Z</dcterms:created>
  <dcterms:modified xsi:type="dcterms:W3CDTF">2023-02-03T07:21:00Z</dcterms:modified>
</cp:coreProperties>
</file>