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1715"/>
        <w:gridCol w:w="2260"/>
        <w:gridCol w:w="456"/>
        <w:gridCol w:w="582"/>
        <w:gridCol w:w="775"/>
        <w:gridCol w:w="1524"/>
        <w:gridCol w:w="1249"/>
        <w:gridCol w:w="1412"/>
        <w:gridCol w:w="500"/>
      </w:tblGrid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 w:rsidRPr="004360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Pr="00436010" w:rsidRDefault="00932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Pr="00436010" w:rsidRDefault="004F41C9">
            <w:pPr>
              <w:rPr>
                <w:szCs w:val="16"/>
                <w:lang w:val="en-US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436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  <w:r w:rsidR="00932983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436010">
              <w:rPr>
                <w:rFonts w:ascii="Times New Roman" w:hAnsi="Times New Roman"/>
                <w:sz w:val="24"/>
                <w:szCs w:val="24"/>
              </w:rPr>
              <w:t>1427-2022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1C9" w:rsidRDefault="00932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Pr="00436010" w:rsidRDefault="009329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промывочная</w:t>
            </w:r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>Luminex</w:t>
            </w:r>
            <w:proofErr w:type="spellEnd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>LifeCodes</w:t>
            </w:r>
            <w:proofErr w:type="spellEnd"/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Sheath Concentrated Fluid 20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360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формирования потока при проведении анализов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флуоресцентном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100/200. Канистра объемом 20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контрольные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контрольных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 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MCON1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CON2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упаковка 28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калибровочных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</w:t>
            </w:r>
            <w:r>
              <w:rPr>
                <w:rFonts w:ascii="Times New Roman" w:hAnsi="Times New Roman"/>
                <w:sz w:val="24"/>
                <w:szCs w:val="24"/>
              </w:rPr>
              <w:t>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MCAL1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CAL2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выделения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автоматического выделения высокоочищенной геномной ДНК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крови с антикоагулянтом. Выделенная ДНК подходит для постановки молекулярно-генетических анализов.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Средний выход ДНК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составляет 20 - 120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 из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нормальной крови (в среднем выход ДНК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чистота в среднем - 1,7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себя не менее 96 готовых картриджей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реагентами для выделения ДНК, бокс с 96 одноразовыми наконечниками, упаковку с не  менее </w:t>
            </w:r>
            <w:r>
              <w:rPr>
                <w:rFonts w:ascii="Times New Roman" w:hAnsi="Times New Roman"/>
                <w:sz w:val="24"/>
                <w:szCs w:val="24"/>
              </w:rPr>
              <w:t>96 одноразовыми помпами и инструкцию.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не менее, чем на 96 выделений геномной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 DRB1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HLA-DRB1 на низком и среднем разрешении методом SSO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 компонентов набора - не менее 4: смесь для ПЦР, хранение при +2-+8 °С,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</w:t>
            </w:r>
            <w:r>
              <w:rPr>
                <w:rFonts w:ascii="Times New Roman" w:hAnsi="Times New Roman"/>
                <w:sz w:val="24"/>
                <w:szCs w:val="24"/>
              </w:rPr>
              <w:t>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HLA-А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</w:t>
            </w:r>
            <w:r>
              <w:rPr>
                <w:rFonts w:ascii="Times New Roman" w:hAnsi="Times New Roman"/>
                <w:sz w:val="24"/>
                <w:szCs w:val="24"/>
              </w:rPr>
              <w:t>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</w:t>
            </w:r>
            <w:r>
              <w:rPr>
                <w:rFonts w:ascii="Times New Roman" w:hAnsi="Times New Roman"/>
                <w:sz w:val="24"/>
                <w:szCs w:val="24"/>
              </w:rPr>
              <w:t>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HLA-B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HLA-B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автоматическую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Используется флуоресц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</w:t>
            </w:r>
            <w:r>
              <w:rPr>
                <w:rFonts w:ascii="Times New Roman" w:hAnsi="Times New Roman"/>
                <w:sz w:val="24"/>
                <w:szCs w:val="24"/>
              </w:rPr>
              <w:t>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рассчитан на постановку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рекомбинантными антигенами)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идентификации HLA антител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использует вакуумную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рекомбинантными антигенами)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идентификации HLA антител 2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антигенами к HLA класс 2 -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Протокол использует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93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1C9" w:rsidRDefault="004F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 w:rsidP="0093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F41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F41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 w:rsidP="00932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4F41C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 w:rsidP="0093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F41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F41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1C9" w:rsidRDefault="004F41C9">
            <w:pPr>
              <w:rPr>
                <w:szCs w:val="16"/>
              </w:rPr>
            </w:pP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41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F41C9" w:rsidRDefault="009329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329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1C9"/>
    <w:rsid w:val="00436010"/>
    <w:rsid w:val="004F41C9"/>
    <w:rsid w:val="009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C188F-2168-4794-8052-C95BF984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2021-09-08T09:56:00Z</dcterms:created>
  <dcterms:modified xsi:type="dcterms:W3CDTF">2021-09-08T09:57:00Z</dcterms:modified>
</cp:coreProperties>
</file>