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5000" w:type="pct"/>
        <w:tblInd w:w="0" w:type="dxa"/>
        <w:tblLayout w:type="fixed"/>
        <w:tblCellMar>
          <w:top w:w="0" w:type="dxa"/>
          <w:left w:w="0" w:type="dxa"/>
          <w:bottom w:w="0" w:type="dxa"/>
          <w:right w:w="0" w:type="dxa"/>
        </w:tblCellMar>
        <w:tblLook w:val="04A0" w:firstRow="1" w:lastRow="0" w:firstColumn="1" w:lastColumn="0" w:noHBand="0" w:noVBand="1"/>
      </w:tblPr>
      <w:tblGrid>
        <w:gridCol w:w="563"/>
        <w:gridCol w:w="1486"/>
        <w:gridCol w:w="1939"/>
        <w:gridCol w:w="667"/>
        <w:gridCol w:w="754"/>
        <w:gridCol w:w="867"/>
        <w:gridCol w:w="1233"/>
        <w:gridCol w:w="1172"/>
        <w:gridCol w:w="972"/>
        <w:gridCol w:w="1120"/>
      </w:tblGrid>
      <w:tr w:rsidR="00797BBD">
        <w:tblPrEx>
          <w:tblCellMar>
            <w:top w:w="0" w:type="dxa"/>
            <w:bottom w:w="0" w:type="dxa"/>
          </w:tblCellMar>
        </w:tblPrEx>
        <w:trPr>
          <w:cantSplit/>
        </w:trPr>
        <w:tc>
          <w:tcPr>
            <w:tcW w:w="6795" w:type="dxa"/>
            <w:gridSpan w:val="3"/>
            <w:shd w:val="clear" w:color="auto" w:fill="auto"/>
            <w:vAlign w:val="bottom"/>
          </w:tcPr>
          <w:p w:rsidR="00797BBD" w:rsidRDefault="00C30657">
            <w:pPr>
              <w:jc w:val="center"/>
            </w:pPr>
            <w:r>
              <w:rPr>
                <w:rFonts w:ascii="Times New Roman" w:hAnsi="Times New Roman"/>
                <w:sz w:val="24"/>
                <w:szCs w:val="24"/>
              </w:rPr>
              <w:t>Краевое государственное бюджетное учреждение здравоохранения</w:t>
            </w:r>
          </w:p>
        </w:tc>
        <w:tc>
          <w:tcPr>
            <w:tcW w:w="1125" w:type="dxa"/>
            <w:shd w:val="clear" w:color="auto" w:fill="auto"/>
            <w:vAlign w:val="bottom"/>
          </w:tcPr>
          <w:p w:rsidR="00797BBD" w:rsidRDefault="00797BBD"/>
        </w:tc>
        <w:tc>
          <w:tcPr>
            <w:tcW w:w="2745" w:type="dxa"/>
            <w:gridSpan w:val="2"/>
            <w:shd w:val="clear" w:color="auto" w:fill="auto"/>
            <w:vAlign w:val="bottom"/>
          </w:tcPr>
          <w:p w:rsidR="00797BBD" w:rsidRDefault="00C30657">
            <w:pPr>
              <w:jc w:val="center"/>
            </w:pPr>
            <w:r>
              <w:rPr>
                <w:rFonts w:ascii="Times New Roman" w:hAnsi="Times New Roman"/>
                <w:sz w:val="24"/>
                <w:szCs w:val="24"/>
              </w:rPr>
              <w:t>Руководителю</w:t>
            </w:r>
          </w:p>
        </w:tc>
        <w:tc>
          <w:tcPr>
            <w:tcW w:w="2100" w:type="dxa"/>
            <w:shd w:val="clear" w:color="auto" w:fill="auto"/>
            <w:vAlign w:val="bottom"/>
          </w:tcPr>
          <w:p w:rsidR="00797BBD" w:rsidRDefault="00797BBD"/>
        </w:tc>
        <w:tc>
          <w:tcPr>
            <w:tcW w:w="1995" w:type="dxa"/>
            <w:shd w:val="clear" w:color="auto" w:fill="auto"/>
            <w:vAlign w:val="bottom"/>
          </w:tcPr>
          <w:p w:rsidR="00797BBD" w:rsidRDefault="00797BBD"/>
        </w:tc>
        <w:tc>
          <w:tcPr>
            <w:tcW w:w="1650" w:type="dxa"/>
            <w:shd w:val="clear" w:color="auto" w:fill="auto"/>
            <w:vAlign w:val="bottom"/>
          </w:tcPr>
          <w:p w:rsidR="00797BBD" w:rsidRDefault="00797BBD"/>
        </w:tc>
        <w:tc>
          <w:tcPr>
            <w:tcW w:w="1905" w:type="dxa"/>
            <w:shd w:val="clear" w:color="auto" w:fill="auto"/>
            <w:vAlign w:val="bottom"/>
          </w:tcPr>
          <w:p w:rsidR="00797BBD" w:rsidRDefault="00797BBD"/>
        </w:tc>
      </w:tr>
      <w:tr w:rsidR="00797BBD">
        <w:tblPrEx>
          <w:tblCellMar>
            <w:top w:w="0" w:type="dxa"/>
            <w:bottom w:w="0" w:type="dxa"/>
          </w:tblCellMar>
        </w:tblPrEx>
        <w:trPr>
          <w:cantSplit/>
        </w:trPr>
        <w:tc>
          <w:tcPr>
            <w:tcW w:w="6795" w:type="dxa"/>
            <w:gridSpan w:val="3"/>
            <w:shd w:val="clear" w:color="auto" w:fill="auto"/>
            <w:vAlign w:val="bottom"/>
          </w:tcPr>
          <w:p w:rsidR="00797BBD" w:rsidRDefault="00C30657">
            <w:pPr>
              <w:jc w:val="center"/>
            </w:pPr>
            <w:r>
              <w:rPr>
                <w:rFonts w:ascii="Times New Roman" w:hAnsi="Times New Roman"/>
                <w:sz w:val="24"/>
                <w:szCs w:val="24"/>
              </w:rPr>
              <w:t>Краевая клиническая больница</w:t>
            </w:r>
          </w:p>
        </w:tc>
        <w:tc>
          <w:tcPr>
            <w:tcW w:w="1125" w:type="dxa"/>
            <w:shd w:val="clear" w:color="auto" w:fill="auto"/>
            <w:vAlign w:val="bottom"/>
          </w:tcPr>
          <w:p w:rsidR="00797BBD" w:rsidRDefault="00797BBD"/>
        </w:tc>
        <w:tc>
          <w:tcPr>
            <w:tcW w:w="1275" w:type="dxa"/>
            <w:shd w:val="clear" w:color="auto" w:fill="auto"/>
            <w:vAlign w:val="bottom"/>
          </w:tcPr>
          <w:p w:rsidR="00797BBD" w:rsidRDefault="00797BBD"/>
        </w:tc>
        <w:tc>
          <w:tcPr>
            <w:tcW w:w="1470" w:type="dxa"/>
            <w:shd w:val="clear" w:color="auto" w:fill="auto"/>
            <w:vAlign w:val="bottom"/>
          </w:tcPr>
          <w:p w:rsidR="00797BBD" w:rsidRDefault="00797BBD"/>
        </w:tc>
        <w:tc>
          <w:tcPr>
            <w:tcW w:w="2100" w:type="dxa"/>
            <w:shd w:val="clear" w:color="auto" w:fill="auto"/>
            <w:vAlign w:val="bottom"/>
          </w:tcPr>
          <w:p w:rsidR="00797BBD" w:rsidRDefault="00797BBD"/>
        </w:tc>
        <w:tc>
          <w:tcPr>
            <w:tcW w:w="1995" w:type="dxa"/>
            <w:shd w:val="clear" w:color="auto" w:fill="auto"/>
            <w:vAlign w:val="bottom"/>
          </w:tcPr>
          <w:p w:rsidR="00797BBD" w:rsidRDefault="00797BBD"/>
        </w:tc>
        <w:tc>
          <w:tcPr>
            <w:tcW w:w="1650" w:type="dxa"/>
            <w:shd w:val="clear" w:color="auto" w:fill="auto"/>
            <w:vAlign w:val="bottom"/>
          </w:tcPr>
          <w:p w:rsidR="00797BBD" w:rsidRDefault="00797BBD"/>
        </w:tc>
        <w:tc>
          <w:tcPr>
            <w:tcW w:w="1905" w:type="dxa"/>
            <w:shd w:val="clear" w:color="auto" w:fill="auto"/>
            <w:vAlign w:val="bottom"/>
          </w:tcPr>
          <w:p w:rsidR="00797BBD" w:rsidRDefault="00797BBD"/>
        </w:tc>
      </w:tr>
      <w:tr w:rsidR="00797BBD">
        <w:tblPrEx>
          <w:tblCellMar>
            <w:top w:w="0" w:type="dxa"/>
            <w:bottom w:w="0" w:type="dxa"/>
          </w:tblCellMar>
        </w:tblPrEx>
        <w:trPr>
          <w:cantSplit/>
        </w:trPr>
        <w:tc>
          <w:tcPr>
            <w:tcW w:w="6795" w:type="dxa"/>
            <w:gridSpan w:val="3"/>
            <w:shd w:val="clear" w:color="auto" w:fill="auto"/>
            <w:vAlign w:val="bottom"/>
          </w:tcPr>
          <w:p w:rsidR="00797BBD" w:rsidRDefault="00C30657">
            <w:pPr>
              <w:jc w:val="center"/>
            </w:pPr>
            <w:r>
              <w:rPr>
                <w:rFonts w:ascii="Times New Roman" w:hAnsi="Times New Roman"/>
                <w:sz w:val="24"/>
                <w:szCs w:val="24"/>
              </w:rPr>
              <w:t>ул. П. Железняка, 3, г. Красноярск, 660022</w:t>
            </w:r>
          </w:p>
        </w:tc>
        <w:tc>
          <w:tcPr>
            <w:tcW w:w="1125" w:type="dxa"/>
            <w:shd w:val="clear" w:color="auto" w:fill="auto"/>
            <w:vAlign w:val="bottom"/>
          </w:tcPr>
          <w:p w:rsidR="00797BBD" w:rsidRDefault="00797BBD"/>
        </w:tc>
        <w:tc>
          <w:tcPr>
            <w:tcW w:w="1275" w:type="dxa"/>
            <w:shd w:val="clear" w:color="auto" w:fill="auto"/>
            <w:vAlign w:val="bottom"/>
          </w:tcPr>
          <w:p w:rsidR="00797BBD" w:rsidRDefault="00797BBD"/>
        </w:tc>
        <w:tc>
          <w:tcPr>
            <w:tcW w:w="1470" w:type="dxa"/>
            <w:shd w:val="clear" w:color="auto" w:fill="auto"/>
            <w:vAlign w:val="bottom"/>
          </w:tcPr>
          <w:p w:rsidR="00797BBD" w:rsidRDefault="00797BBD"/>
        </w:tc>
        <w:tc>
          <w:tcPr>
            <w:tcW w:w="2100" w:type="dxa"/>
            <w:shd w:val="clear" w:color="auto" w:fill="auto"/>
            <w:vAlign w:val="bottom"/>
          </w:tcPr>
          <w:p w:rsidR="00797BBD" w:rsidRDefault="00797BBD"/>
        </w:tc>
        <w:tc>
          <w:tcPr>
            <w:tcW w:w="1995" w:type="dxa"/>
            <w:shd w:val="clear" w:color="auto" w:fill="auto"/>
            <w:vAlign w:val="bottom"/>
          </w:tcPr>
          <w:p w:rsidR="00797BBD" w:rsidRDefault="00797BBD"/>
        </w:tc>
        <w:tc>
          <w:tcPr>
            <w:tcW w:w="1650" w:type="dxa"/>
            <w:shd w:val="clear" w:color="auto" w:fill="auto"/>
            <w:vAlign w:val="bottom"/>
          </w:tcPr>
          <w:p w:rsidR="00797BBD" w:rsidRDefault="00797BBD"/>
        </w:tc>
        <w:tc>
          <w:tcPr>
            <w:tcW w:w="1905" w:type="dxa"/>
            <w:shd w:val="clear" w:color="auto" w:fill="auto"/>
            <w:vAlign w:val="bottom"/>
          </w:tcPr>
          <w:p w:rsidR="00797BBD" w:rsidRDefault="00797BBD"/>
        </w:tc>
      </w:tr>
      <w:tr w:rsidR="00797BBD">
        <w:tblPrEx>
          <w:tblCellMar>
            <w:top w:w="0" w:type="dxa"/>
            <w:bottom w:w="0" w:type="dxa"/>
          </w:tblCellMar>
        </w:tblPrEx>
        <w:trPr>
          <w:cantSplit/>
        </w:trPr>
        <w:tc>
          <w:tcPr>
            <w:tcW w:w="6795" w:type="dxa"/>
            <w:gridSpan w:val="3"/>
            <w:shd w:val="clear" w:color="auto" w:fill="auto"/>
            <w:vAlign w:val="bottom"/>
          </w:tcPr>
          <w:p w:rsidR="00797BBD" w:rsidRDefault="00C30657">
            <w:pPr>
              <w:jc w:val="center"/>
            </w:pPr>
            <w:r>
              <w:rPr>
                <w:rFonts w:ascii="Times New Roman" w:hAnsi="Times New Roman"/>
                <w:sz w:val="24"/>
                <w:szCs w:val="24"/>
              </w:rPr>
              <w:t>Телефон: 8 (391) 226-99-97</w:t>
            </w:r>
          </w:p>
        </w:tc>
        <w:tc>
          <w:tcPr>
            <w:tcW w:w="1125" w:type="dxa"/>
            <w:shd w:val="clear" w:color="auto" w:fill="auto"/>
            <w:vAlign w:val="bottom"/>
          </w:tcPr>
          <w:p w:rsidR="00797BBD" w:rsidRDefault="00797BBD"/>
        </w:tc>
        <w:tc>
          <w:tcPr>
            <w:tcW w:w="1275" w:type="dxa"/>
            <w:shd w:val="clear" w:color="auto" w:fill="auto"/>
            <w:vAlign w:val="bottom"/>
          </w:tcPr>
          <w:p w:rsidR="00797BBD" w:rsidRDefault="00797BBD"/>
        </w:tc>
        <w:tc>
          <w:tcPr>
            <w:tcW w:w="1470" w:type="dxa"/>
            <w:shd w:val="clear" w:color="auto" w:fill="auto"/>
            <w:vAlign w:val="bottom"/>
          </w:tcPr>
          <w:p w:rsidR="00797BBD" w:rsidRDefault="00797BBD"/>
        </w:tc>
        <w:tc>
          <w:tcPr>
            <w:tcW w:w="2100" w:type="dxa"/>
            <w:shd w:val="clear" w:color="auto" w:fill="auto"/>
            <w:vAlign w:val="bottom"/>
          </w:tcPr>
          <w:p w:rsidR="00797BBD" w:rsidRDefault="00797BBD"/>
        </w:tc>
        <w:tc>
          <w:tcPr>
            <w:tcW w:w="1995" w:type="dxa"/>
            <w:shd w:val="clear" w:color="auto" w:fill="auto"/>
            <w:vAlign w:val="bottom"/>
          </w:tcPr>
          <w:p w:rsidR="00797BBD" w:rsidRDefault="00797BBD"/>
        </w:tc>
        <w:tc>
          <w:tcPr>
            <w:tcW w:w="1650" w:type="dxa"/>
            <w:shd w:val="clear" w:color="auto" w:fill="auto"/>
            <w:vAlign w:val="bottom"/>
          </w:tcPr>
          <w:p w:rsidR="00797BBD" w:rsidRDefault="00797BBD"/>
        </w:tc>
        <w:tc>
          <w:tcPr>
            <w:tcW w:w="1905" w:type="dxa"/>
            <w:shd w:val="clear" w:color="auto" w:fill="auto"/>
            <w:vAlign w:val="bottom"/>
          </w:tcPr>
          <w:p w:rsidR="00797BBD" w:rsidRDefault="00797BBD"/>
        </w:tc>
      </w:tr>
      <w:tr w:rsidR="00797BBD">
        <w:tblPrEx>
          <w:tblCellMar>
            <w:top w:w="0" w:type="dxa"/>
            <w:bottom w:w="0" w:type="dxa"/>
          </w:tblCellMar>
        </w:tblPrEx>
        <w:trPr>
          <w:cantSplit/>
        </w:trPr>
        <w:tc>
          <w:tcPr>
            <w:tcW w:w="6795" w:type="dxa"/>
            <w:gridSpan w:val="3"/>
            <w:shd w:val="clear" w:color="auto" w:fill="auto"/>
            <w:vAlign w:val="bottom"/>
          </w:tcPr>
          <w:p w:rsidR="00797BBD" w:rsidRDefault="00C30657">
            <w:pPr>
              <w:jc w:val="center"/>
            </w:pPr>
            <w:r>
              <w:rPr>
                <w:rFonts w:ascii="Times New Roman" w:hAnsi="Times New Roman"/>
                <w:sz w:val="24"/>
                <w:szCs w:val="24"/>
              </w:rPr>
              <w:t>Факс: 8 (391) 220-16-23</w:t>
            </w:r>
          </w:p>
        </w:tc>
        <w:tc>
          <w:tcPr>
            <w:tcW w:w="1125" w:type="dxa"/>
            <w:shd w:val="clear" w:color="auto" w:fill="auto"/>
            <w:vAlign w:val="bottom"/>
          </w:tcPr>
          <w:p w:rsidR="00797BBD" w:rsidRDefault="00797BBD"/>
        </w:tc>
        <w:tc>
          <w:tcPr>
            <w:tcW w:w="1275" w:type="dxa"/>
            <w:shd w:val="clear" w:color="auto" w:fill="auto"/>
            <w:vAlign w:val="bottom"/>
          </w:tcPr>
          <w:p w:rsidR="00797BBD" w:rsidRDefault="00797BBD"/>
        </w:tc>
        <w:tc>
          <w:tcPr>
            <w:tcW w:w="1470" w:type="dxa"/>
            <w:shd w:val="clear" w:color="auto" w:fill="auto"/>
            <w:vAlign w:val="bottom"/>
          </w:tcPr>
          <w:p w:rsidR="00797BBD" w:rsidRDefault="00797BBD"/>
        </w:tc>
        <w:tc>
          <w:tcPr>
            <w:tcW w:w="2100" w:type="dxa"/>
            <w:shd w:val="clear" w:color="auto" w:fill="auto"/>
            <w:vAlign w:val="bottom"/>
          </w:tcPr>
          <w:p w:rsidR="00797BBD" w:rsidRDefault="00797BBD"/>
        </w:tc>
        <w:tc>
          <w:tcPr>
            <w:tcW w:w="1995" w:type="dxa"/>
            <w:shd w:val="clear" w:color="auto" w:fill="auto"/>
            <w:vAlign w:val="bottom"/>
          </w:tcPr>
          <w:p w:rsidR="00797BBD" w:rsidRDefault="00797BBD"/>
        </w:tc>
        <w:tc>
          <w:tcPr>
            <w:tcW w:w="1650" w:type="dxa"/>
            <w:shd w:val="clear" w:color="auto" w:fill="auto"/>
            <w:vAlign w:val="bottom"/>
          </w:tcPr>
          <w:p w:rsidR="00797BBD" w:rsidRDefault="00797BBD"/>
        </w:tc>
        <w:tc>
          <w:tcPr>
            <w:tcW w:w="1905" w:type="dxa"/>
            <w:shd w:val="clear" w:color="auto" w:fill="auto"/>
            <w:vAlign w:val="bottom"/>
          </w:tcPr>
          <w:p w:rsidR="00797BBD" w:rsidRDefault="00797BBD"/>
        </w:tc>
      </w:tr>
      <w:tr w:rsidR="00797BBD" w:rsidRPr="00C30657">
        <w:tblPrEx>
          <w:tblCellMar>
            <w:top w:w="0" w:type="dxa"/>
            <w:bottom w:w="0" w:type="dxa"/>
          </w:tblCellMar>
        </w:tblPrEx>
        <w:trPr>
          <w:cantSplit/>
        </w:trPr>
        <w:tc>
          <w:tcPr>
            <w:tcW w:w="6795" w:type="dxa"/>
            <w:gridSpan w:val="3"/>
            <w:shd w:val="clear" w:color="auto" w:fill="auto"/>
            <w:vAlign w:val="bottom"/>
          </w:tcPr>
          <w:p w:rsidR="00797BBD" w:rsidRPr="00C30657" w:rsidRDefault="00C30657">
            <w:pPr>
              <w:jc w:val="center"/>
              <w:rPr>
                <w:lang w:val="en-US"/>
              </w:rPr>
            </w:pPr>
            <w:r>
              <w:rPr>
                <w:rFonts w:ascii="Times New Roman" w:hAnsi="Times New Roman"/>
                <w:sz w:val="24"/>
                <w:szCs w:val="24"/>
              </w:rPr>
              <w:t>Е</w:t>
            </w:r>
            <w:r w:rsidRPr="00C30657">
              <w:rPr>
                <w:rFonts w:ascii="Times New Roman" w:hAnsi="Times New Roman"/>
                <w:sz w:val="24"/>
                <w:szCs w:val="24"/>
                <w:lang w:val="en-US"/>
              </w:rPr>
              <w:t xml:space="preserve">-mail: kkb@ </w:t>
            </w:r>
            <w:r w:rsidRPr="00C30657">
              <w:rPr>
                <w:rFonts w:ascii="Times New Roman" w:hAnsi="Times New Roman"/>
                <w:sz w:val="24"/>
                <w:szCs w:val="24"/>
                <w:lang w:val="en-US"/>
              </w:rPr>
              <w:t>medqorod. ru</w:t>
            </w:r>
          </w:p>
        </w:tc>
        <w:tc>
          <w:tcPr>
            <w:tcW w:w="1125" w:type="dxa"/>
            <w:shd w:val="clear" w:color="auto" w:fill="auto"/>
            <w:vAlign w:val="bottom"/>
          </w:tcPr>
          <w:p w:rsidR="00797BBD" w:rsidRPr="00C30657" w:rsidRDefault="00797BBD">
            <w:pPr>
              <w:rPr>
                <w:lang w:val="en-US"/>
              </w:rPr>
            </w:pPr>
          </w:p>
        </w:tc>
        <w:tc>
          <w:tcPr>
            <w:tcW w:w="1275" w:type="dxa"/>
            <w:shd w:val="clear" w:color="auto" w:fill="auto"/>
            <w:vAlign w:val="bottom"/>
          </w:tcPr>
          <w:p w:rsidR="00797BBD" w:rsidRPr="00C30657" w:rsidRDefault="00797BBD">
            <w:pPr>
              <w:rPr>
                <w:lang w:val="en-US"/>
              </w:rPr>
            </w:pPr>
          </w:p>
        </w:tc>
        <w:tc>
          <w:tcPr>
            <w:tcW w:w="1470" w:type="dxa"/>
            <w:shd w:val="clear" w:color="auto" w:fill="auto"/>
            <w:vAlign w:val="bottom"/>
          </w:tcPr>
          <w:p w:rsidR="00797BBD" w:rsidRPr="00C30657" w:rsidRDefault="00797BBD">
            <w:pPr>
              <w:rPr>
                <w:lang w:val="en-US"/>
              </w:rPr>
            </w:pPr>
          </w:p>
        </w:tc>
        <w:tc>
          <w:tcPr>
            <w:tcW w:w="2100" w:type="dxa"/>
            <w:shd w:val="clear" w:color="auto" w:fill="auto"/>
            <w:vAlign w:val="bottom"/>
          </w:tcPr>
          <w:p w:rsidR="00797BBD" w:rsidRPr="00C30657" w:rsidRDefault="00797BBD">
            <w:pPr>
              <w:rPr>
                <w:lang w:val="en-US"/>
              </w:rPr>
            </w:pPr>
          </w:p>
        </w:tc>
        <w:tc>
          <w:tcPr>
            <w:tcW w:w="1995" w:type="dxa"/>
            <w:shd w:val="clear" w:color="auto" w:fill="auto"/>
            <w:vAlign w:val="bottom"/>
          </w:tcPr>
          <w:p w:rsidR="00797BBD" w:rsidRPr="00C30657" w:rsidRDefault="00797BBD">
            <w:pPr>
              <w:rPr>
                <w:lang w:val="en-US"/>
              </w:rPr>
            </w:pPr>
          </w:p>
        </w:tc>
        <w:tc>
          <w:tcPr>
            <w:tcW w:w="1650" w:type="dxa"/>
            <w:shd w:val="clear" w:color="auto" w:fill="auto"/>
            <w:vAlign w:val="bottom"/>
          </w:tcPr>
          <w:p w:rsidR="00797BBD" w:rsidRPr="00C30657" w:rsidRDefault="00797BBD">
            <w:pPr>
              <w:rPr>
                <w:lang w:val="en-US"/>
              </w:rPr>
            </w:pPr>
          </w:p>
        </w:tc>
        <w:tc>
          <w:tcPr>
            <w:tcW w:w="1905" w:type="dxa"/>
            <w:shd w:val="clear" w:color="auto" w:fill="auto"/>
            <w:vAlign w:val="bottom"/>
          </w:tcPr>
          <w:p w:rsidR="00797BBD" w:rsidRPr="00C30657" w:rsidRDefault="00797BBD">
            <w:pPr>
              <w:rPr>
                <w:lang w:val="en-US"/>
              </w:rPr>
            </w:pPr>
          </w:p>
        </w:tc>
      </w:tr>
      <w:tr w:rsidR="00797BBD">
        <w:tblPrEx>
          <w:tblCellMar>
            <w:top w:w="0" w:type="dxa"/>
            <w:bottom w:w="0" w:type="dxa"/>
          </w:tblCellMar>
        </w:tblPrEx>
        <w:trPr>
          <w:cantSplit/>
        </w:trPr>
        <w:tc>
          <w:tcPr>
            <w:tcW w:w="6795" w:type="dxa"/>
            <w:gridSpan w:val="3"/>
            <w:shd w:val="clear" w:color="auto" w:fill="auto"/>
            <w:vAlign w:val="bottom"/>
          </w:tcPr>
          <w:p w:rsidR="00797BBD" w:rsidRDefault="00C30657">
            <w:pPr>
              <w:jc w:val="center"/>
            </w:pPr>
            <w:r>
              <w:rPr>
                <w:rFonts w:ascii="Times New Roman" w:hAnsi="Times New Roman"/>
                <w:sz w:val="24"/>
                <w:szCs w:val="24"/>
              </w:rPr>
              <w:t>Http://www.medgorod.ru</w:t>
            </w:r>
          </w:p>
        </w:tc>
        <w:tc>
          <w:tcPr>
            <w:tcW w:w="1125" w:type="dxa"/>
            <w:shd w:val="clear" w:color="auto" w:fill="auto"/>
            <w:vAlign w:val="bottom"/>
          </w:tcPr>
          <w:p w:rsidR="00797BBD" w:rsidRDefault="00797BBD"/>
        </w:tc>
        <w:tc>
          <w:tcPr>
            <w:tcW w:w="1275" w:type="dxa"/>
            <w:shd w:val="clear" w:color="auto" w:fill="auto"/>
            <w:vAlign w:val="bottom"/>
          </w:tcPr>
          <w:p w:rsidR="00797BBD" w:rsidRDefault="00797BBD"/>
        </w:tc>
        <w:tc>
          <w:tcPr>
            <w:tcW w:w="1470" w:type="dxa"/>
            <w:shd w:val="clear" w:color="auto" w:fill="auto"/>
            <w:vAlign w:val="bottom"/>
          </w:tcPr>
          <w:p w:rsidR="00797BBD" w:rsidRDefault="00797BBD"/>
        </w:tc>
        <w:tc>
          <w:tcPr>
            <w:tcW w:w="2100" w:type="dxa"/>
            <w:shd w:val="clear" w:color="auto" w:fill="auto"/>
            <w:vAlign w:val="bottom"/>
          </w:tcPr>
          <w:p w:rsidR="00797BBD" w:rsidRDefault="00797BBD"/>
        </w:tc>
        <w:tc>
          <w:tcPr>
            <w:tcW w:w="1995" w:type="dxa"/>
            <w:shd w:val="clear" w:color="auto" w:fill="auto"/>
            <w:vAlign w:val="bottom"/>
          </w:tcPr>
          <w:p w:rsidR="00797BBD" w:rsidRDefault="00797BBD"/>
        </w:tc>
        <w:tc>
          <w:tcPr>
            <w:tcW w:w="1650" w:type="dxa"/>
            <w:shd w:val="clear" w:color="auto" w:fill="auto"/>
            <w:vAlign w:val="bottom"/>
          </w:tcPr>
          <w:p w:rsidR="00797BBD" w:rsidRDefault="00797BBD"/>
        </w:tc>
        <w:tc>
          <w:tcPr>
            <w:tcW w:w="1905" w:type="dxa"/>
            <w:shd w:val="clear" w:color="auto" w:fill="auto"/>
            <w:vAlign w:val="bottom"/>
          </w:tcPr>
          <w:p w:rsidR="00797BBD" w:rsidRDefault="00797BBD"/>
        </w:tc>
      </w:tr>
      <w:tr w:rsidR="00797BBD">
        <w:tblPrEx>
          <w:tblCellMar>
            <w:top w:w="0" w:type="dxa"/>
            <w:bottom w:w="0" w:type="dxa"/>
          </w:tblCellMar>
        </w:tblPrEx>
        <w:trPr>
          <w:cantSplit/>
        </w:trPr>
        <w:tc>
          <w:tcPr>
            <w:tcW w:w="6795" w:type="dxa"/>
            <w:gridSpan w:val="3"/>
            <w:shd w:val="clear" w:color="auto" w:fill="auto"/>
            <w:vAlign w:val="bottom"/>
          </w:tcPr>
          <w:p w:rsidR="00797BBD" w:rsidRDefault="00C30657">
            <w:pPr>
              <w:jc w:val="center"/>
            </w:pPr>
            <w:r>
              <w:rPr>
                <w:rFonts w:ascii="Times New Roman" w:hAnsi="Times New Roman"/>
                <w:sz w:val="24"/>
                <w:szCs w:val="24"/>
              </w:rPr>
              <w:t>ОКПО 01913234</w:t>
            </w:r>
          </w:p>
        </w:tc>
        <w:tc>
          <w:tcPr>
            <w:tcW w:w="1125" w:type="dxa"/>
            <w:shd w:val="clear" w:color="auto" w:fill="auto"/>
            <w:vAlign w:val="bottom"/>
          </w:tcPr>
          <w:p w:rsidR="00797BBD" w:rsidRDefault="00797BBD"/>
        </w:tc>
        <w:tc>
          <w:tcPr>
            <w:tcW w:w="1275" w:type="dxa"/>
            <w:shd w:val="clear" w:color="auto" w:fill="auto"/>
            <w:vAlign w:val="bottom"/>
          </w:tcPr>
          <w:p w:rsidR="00797BBD" w:rsidRDefault="00797BBD"/>
        </w:tc>
        <w:tc>
          <w:tcPr>
            <w:tcW w:w="1470" w:type="dxa"/>
            <w:shd w:val="clear" w:color="auto" w:fill="auto"/>
            <w:vAlign w:val="bottom"/>
          </w:tcPr>
          <w:p w:rsidR="00797BBD" w:rsidRDefault="00797BBD"/>
        </w:tc>
        <w:tc>
          <w:tcPr>
            <w:tcW w:w="2100" w:type="dxa"/>
            <w:shd w:val="clear" w:color="auto" w:fill="auto"/>
            <w:vAlign w:val="bottom"/>
          </w:tcPr>
          <w:p w:rsidR="00797BBD" w:rsidRDefault="00797BBD"/>
        </w:tc>
        <w:tc>
          <w:tcPr>
            <w:tcW w:w="1995" w:type="dxa"/>
            <w:shd w:val="clear" w:color="auto" w:fill="auto"/>
            <w:vAlign w:val="bottom"/>
          </w:tcPr>
          <w:p w:rsidR="00797BBD" w:rsidRDefault="00797BBD"/>
        </w:tc>
        <w:tc>
          <w:tcPr>
            <w:tcW w:w="1650" w:type="dxa"/>
            <w:shd w:val="clear" w:color="auto" w:fill="auto"/>
            <w:vAlign w:val="bottom"/>
          </w:tcPr>
          <w:p w:rsidR="00797BBD" w:rsidRDefault="00797BBD"/>
        </w:tc>
        <w:tc>
          <w:tcPr>
            <w:tcW w:w="1905" w:type="dxa"/>
            <w:shd w:val="clear" w:color="auto" w:fill="auto"/>
            <w:vAlign w:val="bottom"/>
          </w:tcPr>
          <w:p w:rsidR="00797BBD" w:rsidRDefault="00797BBD"/>
        </w:tc>
      </w:tr>
      <w:tr w:rsidR="00797BBD">
        <w:tblPrEx>
          <w:tblCellMar>
            <w:top w:w="0" w:type="dxa"/>
            <w:bottom w:w="0" w:type="dxa"/>
          </w:tblCellMar>
        </w:tblPrEx>
        <w:trPr>
          <w:cantSplit/>
        </w:trPr>
        <w:tc>
          <w:tcPr>
            <w:tcW w:w="6795" w:type="dxa"/>
            <w:gridSpan w:val="3"/>
            <w:shd w:val="clear" w:color="auto" w:fill="auto"/>
            <w:vAlign w:val="bottom"/>
          </w:tcPr>
          <w:p w:rsidR="00797BBD" w:rsidRDefault="00C30657">
            <w:pPr>
              <w:jc w:val="center"/>
            </w:pPr>
            <w:r>
              <w:rPr>
                <w:rFonts w:ascii="Times New Roman" w:hAnsi="Times New Roman"/>
                <w:sz w:val="24"/>
                <w:szCs w:val="24"/>
              </w:rPr>
              <w:t>ИНН/КПП 2465030876/246501001</w:t>
            </w:r>
          </w:p>
        </w:tc>
        <w:tc>
          <w:tcPr>
            <w:tcW w:w="1125" w:type="dxa"/>
            <w:shd w:val="clear" w:color="auto" w:fill="auto"/>
            <w:vAlign w:val="bottom"/>
          </w:tcPr>
          <w:p w:rsidR="00797BBD" w:rsidRDefault="00797BBD"/>
        </w:tc>
        <w:tc>
          <w:tcPr>
            <w:tcW w:w="1275" w:type="dxa"/>
            <w:shd w:val="clear" w:color="auto" w:fill="auto"/>
            <w:vAlign w:val="bottom"/>
          </w:tcPr>
          <w:p w:rsidR="00797BBD" w:rsidRDefault="00797BBD"/>
        </w:tc>
        <w:tc>
          <w:tcPr>
            <w:tcW w:w="1470" w:type="dxa"/>
            <w:shd w:val="clear" w:color="auto" w:fill="auto"/>
            <w:vAlign w:val="bottom"/>
          </w:tcPr>
          <w:p w:rsidR="00797BBD" w:rsidRDefault="00797BBD"/>
        </w:tc>
        <w:tc>
          <w:tcPr>
            <w:tcW w:w="2100" w:type="dxa"/>
            <w:shd w:val="clear" w:color="auto" w:fill="auto"/>
            <w:vAlign w:val="bottom"/>
          </w:tcPr>
          <w:p w:rsidR="00797BBD" w:rsidRDefault="00797BBD"/>
        </w:tc>
        <w:tc>
          <w:tcPr>
            <w:tcW w:w="1995" w:type="dxa"/>
            <w:shd w:val="clear" w:color="auto" w:fill="auto"/>
            <w:vAlign w:val="bottom"/>
          </w:tcPr>
          <w:p w:rsidR="00797BBD" w:rsidRDefault="00797BBD"/>
        </w:tc>
        <w:tc>
          <w:tcPr>
            <w:tcW w:w="1650" w:type="dxa"/>
            <w:shd w:val="clear" w:color="auto" w:fill="auto"/>
            <w:vAlign w:val="bottom"/>
          </w:tcPr>
          <w:p w:rsidR="00797BBD" w:rsidRDefault="00797BBD"/>
        </w:tc>
        <w:tc>
          <w:tcPr>
            <w:tcW w:w="1905" w:type="dxa"/>
            <w:shd w:val="clear" w:color="auto" w:fill="auto"/>
            <w:vAlign w:val="bottom"/>
          </w:tcPr>
          <w:p w:rsidR="00797BBD" w:rsidRDefault="00797BBD"/>
        </w:tc>
      </w:tr>
      <w:tr w:rsidR="00797BBD">
        <w:tblPrEx>
          <w:tblCellMar>
            <w:top w:w="0" w:type="dxa"/>
            <w:bottom w:w="0" w:type="dxa"/>
          </w:tblCellMar>
        </w:tblPrEx>
        <w:trPr>
          <w:cantSplit/>
        </w:trPr>
        <w:tc>
          <w:tcPr>
            <w:tcW w:w="6795" w:type="dxa"/>
            <w:gridSpan w:val="3"/>
            <w:shd w:val="clear" w:color="auto" w:fill="auto"/>
            <w:vAlign w:val="bottom"/>
          </w:tcPr>
          <w:p w:rsidR="00797BBD" w:rsidRDefault="00C30657" w:rsidP="00C30657">
            <w:pPr>
              <w:jc w:val="center"/>
            </w:pPr>
            <w:r>
              <w:rPr>
                <w:rFonts w:ascii="Times New Roman" w:hAnsi="Times New Roman"/>
                <w:sz w:val="24"/>
                <w:szCs w:val="24"/>
              </w:rPr>
              <w:t>12.09.2</w:t>
            </w:r>
            <w:r>
              <w:rPr>
                <w:rFonts w:ascii="Times New Roman" w:hAnsi="Times New Roman"/>
                <w:sz w:val="24"/>
                <w:szCs w:val="24"/>
              </w:rPr>
              <w:t>023 г. №1419-2023</w:t>
            </w:r>
          </w:p>
        </w:tc>
        <w:tc>
          <w:tcPr>
            <w:tcW w:w="1125" w:type="dxa"/>
            <w:shd w:val="clear" w:color="auto" w:fill="auto"/>
            <w:vAlign w:val="bottom"/>
          </w:tcPr>
          <w:p w:rsidR="00797BBD" w:rsidRDefault="00797BBD"/>
        </w:tc>
        <w:tc>
          <w:tcPr>
            <w:tcW w:w="1275" w:type="dxa"/>
            <w:shd w:val="clear" w:color="auto" w:fill="auto"/>
            <w:vAlign w:val="bottom"/>
          </w:tcPr>
          <w:p w:rsidR="00797BBD" w:rsidRDefault="00797BBD"/>
        </w:tc>
        <w:tc>
          <w:tcPr>
            <w:tcW w:w="1470" w:type="dxa"/>
            <w:shd w:val="clear" w:color="auto" w:fill="auto"/>
            <w:vAlign w:val="bottom"/>
          </w:tcPr>
          <w:p w:rsidR="00797BBD" w:rsidRDefault="00797BBD"/>
        </w:tc>
        <w:tc>
          <w:tcPr>
            <w:tcW w:w="2100" w:type="dxa"/>
            <w:shd w:val="clear" w:color="auto" w:fill="auto"/>
            <w:vAlign w:val="bottom"/>
          </w:tcPr>
          <w:p w:rsidR="00797BBD" w:rsidRDefault="00797BBD"/>
        </w:tc>
        <w:tc>
          <w:tcPr>
            <w:tcW w:w="1995" w:type="dxa"/>
            <w:shd w:val="clear" w:color="auto" w:fill="auto"/>
            <w:vAlign w:val="bottom"/>
          </w:tcPr>
          <w:p w:rsidR="00797BBD" w:rsidRDefault="00797BBD"/>
        </w:tc>
        <w:tc>
          <w:tcPr>
            <w:tcW w:w="1650" w:type="dxa"/>
            <w:shd w:val="clear" w:color="auto" w:fill="auto"/>
            <w:vAlign w:val="bottom"/>
          </w:tcPr>
          <w:p w:rsidR="00797BBD" w:rsidRDefault="00797BBD"/>
        </w:tc>
        <w:tc>
          <w:tcPr>
            <w:tcW w:w="1905" w:type="dxa"/>
            <w:shd w:val="clear" w:color="auto" w:fill="auto"/>
            <w:vAlign w:val="bottom"/>
          </w:tcPr>
          <w:p w:rsidR="00797BBD" w:rsidRDefault="00797BBD"/>
        </w:tc>
      </w:tr>
      <w:tr w:rsidR="00797BBD">
        <w:tblPrEx>
          <w:tblCellMar>
            <w:top w:w="0" w:type="dxa"/>
            <w:bottom w:w="0" w:type="dxa"/>
          </w:tblCellMar>
        </w:tblPrEx>
        <w:trPr>
          <w:cantSplit/>
        </w:trPr>
        <w:tc>
          <w:tcPr>
            <w:tcW w:w="6795" w:type="dxa"/>
            <w:gridSpan w:val="3"/>
            <w:shd w:val="clear" w:color="auto" w:fill="auto"/>
            <w:vAlign w:val="bottom"/>
          </w:tcPr>
          <w:p w:rsidR="00797BBD" w:rsidRDefault="00C30657">
            <w:pPr>
              <w:jc w:val="center"/>
            </w:pPr>
            <w:r>
              <w:rPr>
                <w:rFonts w:ascii="Times New Roman" w:hAnsi="Times New Roman"/>
                <w:sz w:val="24"/>
                <w:szCs w:val="24"/>
              </w:rPr>
              <w:t>На №_________ от ________________</w:t>
            </w:r>
          </w:p>
        </w:tc>
        <w:tc>
          <w:tcPr>
            <w:tcW w:w="1125" w:type="dxa"/>
            <w:shd w:val="clear" w:color="auto" w:fill="auto"/>
            <w:vAlign w:val="bottom"/>
          </w:tcPr>
          <w:p w:rsidR="00797BBD" w:rsidRDefault="00797BBD"/>
        </w:tc>
        <w:tc>
          <w:tcPr>
            <w:tcW w:w="1275" w:type="dxa"/>
            <w:shd w:val="clear" w:color="auto" w:fill="auto"/>
            <w:vAlign w:val="bottom"/>
          </w:tcPr>
          <w:p w:rsidR="00797BBD" w:rsidRDefault="00797BBD"/>
        </w:tc>
        <w:tc>
          <w:tcPr>
            <w:tcW w:w="1470" w:type="dxa"/>
            <w:shd w:val="clear" w:color="auto" w:fill="auto"/>
            <w:vAlign w:val="bottom"/>
          </w:tcPr>
          <w:p w:rsidR="00797BBD" w:rsidRDefault="00797BBD"/>
        </w:tc>
        <w:tc>
          <w:tcPr>
            <w:tcW w:w="2100" w:type="dxa"/>
            <w:shd w:val="clear" w:color="auto" w:fill="auto"/>
            <w:vAlign w:val="bottom"/>
          </w:tcPr>
          <w:p w:rsidR="00797BBD" w:rsidRDefault="00797BBD"/>
        </w:tc>
        <w:tc>
          <w:tcPr>
            <w:tcW w:w="1995" w:type="dxa"/>
            <w:shd w:val="clear" w:color="auto" w:fill="auto"/>
            <w:vAlign w:val="bottom"/>
          </w:tcPr>
          <w:p w:rsidR="00797BBD" w:rsidRDefault="00797BBD"/>
        </w:tc>
        <w:tc>
          <w:tcPr>
            <w:tcW w:w="1650" w:type="dxa"/>
            <w:shd w:val="clear" w:color="auto" w:fill="auto"/>
            <w:vAlign w:val="bottom"/>
          </w:tcPr>
          <w:p w:rsidR="00797BBD" w:rsidRDefault="00797BBD"/>
        </w:tc>
        <w:tc>
          <w:tcPr>
            <w:tcW w:w="1905" w:type="dxa"/>
            <w:shd w:val="clear" w:color="auto" w:fill="auto"/>
            <w:vAlign w:val="bottom"/>
          </w:tcPr>
          <w:p w:rsidR="00797BBD" w:rsidRDefault="00797BBD"/>
        </w:tc>
      </w:tr>
      <w:tr w:rsidR="00797BBD">
        <w:tblPrEx>
          <w:tblCellMar>
            <w:top w:w="0" w:type="dxa"/>
            <w:bottom w:w="0" w:type="dxa"/>
          </w:tblCellMar>
        </w:tblPrEx>
        <w:trPr>
          <w:cantSplit/>
        </w:trPr>
        <w:tc>
          <w:tcPr>
            <w:tcW w:w="945" w:type="dxa"/>
            <w:shd w:val="clear" w:color="auto" w:fill="auto"/>
            <w:vAlign w:val="bottom"/>
          </w:tcPr>
          <w:p w:rsidR="00797BBD" w:rsidRDefault="00797BBD"/>
        </w:tc>
        <w:tc>
          <w:tcPr>
            <w:tcW w:w="2535" w:type="dxa"/>
            <w:shd w:val="clear" w:color="auto" w:fill="auto"/>
            <w:vAlign w:val="bottom"/>
          </w:tcPr>
          <w:p w:rsidR="00797BBD" w:rsidRDefault="00797BBD"/>
        </w:tc>
        <w:tc>
          <w:tcPr>
            <w:tcW w:w="3315" w:type="dxa"/>
            <w:shd w:val="clear" w:color="auto" w:fill="auto"/>
            <w:vAlign w:val="bottom"/>
          </w:tcPr>
          <w:p w:rsidR="00797BBD" w:rsidRDefault="00797BBD"/>
        </w:tc>
        <w:tc>
          <w:tcPr>
            <w:tcW w:w="1125" w:type="dxa"/>
            <w:shd w:val="clear" w:color="auto" w:fill="auto"/>
            <w:vAlign w:val="bottom"/>
          </w:tcPr>
          <w:p w:rsidR="00797BBD" w:rsidRDefault="00797BBD"/>
        </w:tc>
        <w:tc>
          <w:tcPr>
            <w:tcW w:w="1275" w:type="dxa"/>
            <w:shd w:val="clear" w:color="auto" w:fill="auto"/>
            <w:vAlign w:val="bottom"/>
          </w:tcPr>
          <w:p w:rsidR="00797BBD" w:rsidRDefault="00797BBD"/>
        </w:tc>
        <w:tc>
          <w:tcPr>
            <w:tcW w:w="1470" w:type="dxa"/>
            <w:shd w:val="clear" w:color="auto" w:fill="auto"/>
            <w:vAlign w:val="bottom"/>
          </w:tcPr>
          <w:p w:rsidR="00797BBD" w:rsidRDefault="00797BBD"/>
        </w:tc>
        <w:tc>
          <w:tcPr>
            <w:tcW w:w="2100" w:type="dxa"/>
            <w:shd w:val="clear" w:color="auto" w:fill="auto"/>
            <w:vAlign w:val="bottom"/>
          </w:tcPr>
          <w:p w:rsidR="00797BBD" w:rsidRDefault="00797BBD"/>
        </w:tc>
        <w:tc>
          <w:tcPr>
            <w:tcW w:w="1995" w:type="dxa"/>
            <w:shd w:val="clear" w:color="auto" w:fill="auto"/>
            <w:vAlign w:val="bottom"/>
          </w:tcPr>
          <w:p w:rsidR="00797BBD" w:rsidRDefault="00797BBD"/>
        </w:tc>
        <w:tc>
          <w:tcPr>
            <w:tcW w:w="1650" w:type="dxa"/>
            <w:shd w:val="clear" w:color="auto" w:fill="auto"/>
            <w:vAlign w:val="bottom"/>
          </w:tcPr>
          <w:p w:rsidR="00797BBD" w:rsidRDefault="00797BBD"/>
        </w:tc>
        <w:tc>
          <w:tcPr>
            <w:tcW w:w="1905" w:type="dxa"/>
            <w:shd w:val="clear" w:color="auto" w:fill="auto"/>
            <w:vAlign w:val="bottom"/>
          </w:tcPr>
          <w:p w:rsidR="00797BBD" w:rsidRDefault="00797BBD"/>
        </w:tc>
      </w:tr>
      <w:tr w:rsidR="00797BBD">
        <w:tblPrEx>
          <w:tblCellMar>
            <w:top w:w="0" w:type="dxa"/>
            <w:bottom w:w="0" w:type="dxa"/>
          </w:tblCellMar>
        </w:tblPrEx>
        <w:trPr>
          <w:cantSplit/>
        </w:trPr>
        <w:tc>
          <w:tcPr>
            <w:tcW w:w="6795" w:type="dxa"/>
            <w:gridSpan w:val="3"/>
            <w:shd w:val="clear" w:color="auto" w:fill="auto"/>
            <w:vAlign w:val="bottom"/>
          </w:tcPr>
          <w:p w:rsidR="00797BBD" w:rsidRDefault="00C30657">
            <w:pPr>
              <w:jc w:val="center"/>
            </w:pPr>
            <w:r>
              <w:rPr>
                <w:rFonts w:ascii="Times New Roman" w:hAnsi="Times New Roman"/>
                <w:sz w:val="24"/>
                <w:szCs w:val="24"/>
              </w:rPr>
              <w:t>О коммерческом предложении</w:t>
            </w:r>
          </w:p>
        </w:tc>
        <w:tc>
          <w:tcPr>
            <w:tcW w:w="1125" w:type="dxa"/>
            <w:shd w:val="clear" w:color="auto" w:fill="auto"/>
            <w:vAlign w:val="bottom"/>
          </w:tcPr>
          <w:p w:rsidR="00797BBD" w:rsidRDefault="00797BBD"/>
        </w:tc>
        <w:tc>
          <w:tcPr>
            <w:tcW w:w="1275" w:type="dxa"/>
            <w:shd w:val="clear" w:color="auto" w:fill="auto"/>
            <w:vAlign w:val="bottom"/>
          </w:tcPr>
          <w:p w:rsidR="00797BBD" w:rsidRDefault="00797BBD"/>
        </w:tc>
        <w:tc>
          <w:tcPr>
            <w:tcW w:w="1470" w:type="dxa"/>
            <w:shd w:val="clear" w:color="auto" w:fill="auto"/>
            <w:vAlign w:val="bottom"/>
          </w:tcPr>
          <w:p w:rsidR="00797BBD" w:rsidRDefault="00797BBD"/>
        </w:tc>
        <w:tc>
          <w:tcPr>
            <w:tcW w:w="2100" w:type="dxa"/>
            <w:shd w:val="clear" w:color="auto" w:fill="auto"/>
            <w:vAlign w:val="bottom"/>
          </w:tcPr>
          <w:p w:rsidR="00797BBD" w:rsidRDefault="00797BBD"/>
        </w:tc>
        <w:tc>
          <w:tcPr>
            <w:tcW w:w="1995" w:type="dxa"/>
            <w:shd w:val="clear" w:color="auto" w:fill="auto"/>
            <w:vAlign w:val="bottom"/>
          </w:tcPr>
          <w:p w:rsidR="00797BBD" w:rsidRDefault="00797BBD"/>
        </w:tc>
        <w:tc>
          <w:tcPr>
            <w:tcW w:w="1650" w:type="dxa"/>
            <w:shd w:val="clear" w:color="auto" w:fill="auto"/>
            <w:vAlign w:val="bottom"/>
          </w:tcPr>
          <w:p w:rsidR="00797BBD" w:rsidRDefault="00797BBD"/>
        </w:tc>
        <w:tc>
          <w:tcPr>
            <w:tcW w:w="1905" w:type="dxa"/>
            <w:shd w:val="clear" w:color="auto" w:fill="auto"/>
            <w:vAlign w:val="bottom"/>
          </w:tcPr>
          <w:p w:rsidR="00797BBD" w:rsidRDefault="00797BBD"/>
        </w:tc>
      </w:tr>
      <w:tr w:rsidR="00797BBD">
        <w:tblPrEx>
          <w:tblCellMar>
            <w:top w:w="0" w:type="dxa"/>
            <w:bottom w:w="0" w:type="dxa"/>
          </w:tblCellMar>
        </w:tblPrEx>
        <w:trPr>
          <w:cantSplit/>
        </w:trPr>
        <w:tc>
          <w:tcPr>
            <w:tcW w:w="945" w:type="dxa"/>
            <w:shd w:val="clear" w:color="auto" w:fill="auto"/>
            <w:vAlign w:val="bottom"/>
          </w:tcPr>
          <w:p w:rsidR="00797BBD" w:rsidRDefault="00797BBD"/>
        </w:tc>
        <w:tc>
          <w:tcPr>
            <w:tcW w:w="2535" w:type="dxa"/>
            <w:shd w:val="clear" w:color="auto" w:fill="auto"/>
            <w:vAlign w:val="bottom"/>
          </w:tcPr>
          <w:p w:rsidR="00797BBD" w:rsidRDefault="00797BBD"/>
        </w:tc>
        <w:tc>
          <w:tcPr>
            <w:tcW w:w="3315" w:type="dxa"/>
            <w:shd w:val="clear" w:color="auto" w:fill="auto"/>
            <w:vAlign w:val="bottom"/>
          </w:tcPr>
          <w:p w:rsidR="00797BBD" w:rsidRDefault="00797BBD"/>
        </w:tc>
        <w:tc>
          <w:tcPr>
            <w:tcW w:w="1125" w:type="dxa"/>
            <w:shd w:val="clear" w:color="auto" w:fill="auto"/>
            <w:vAlign w:val="bottom"/>
          </w:tcPr>
          <w:p w:rsidR="00797BBD" w:rsidRDefault="00797BBD"/>
        </w:tc>
        <w:tc>
          <w:tcPr>
            <w:tcW w:w="1275" w:type="dxa"/>
            <w:shd w:val="clear" w:color="auto" w:fill="auto"/>
            <w:vAlign w:val="bottom"/>
          </w:tcPr>
          <w:p w:rsidR="00797BBD" w:rsidRDefault="00797BBD"/>
        </w:tc>
        <w:tc>
          <w:tcPr>
            <w:tcW w:w="1470" w:type="dxa"/>
            <w:shd w:val="clear" w:color="auto" w:fill="auto"/>
            <w:vAlign w:val="bottom"/>
          </w:tcPr>
          <w:p w:rsidR="00797BBD" w:rsidRDefault="00797BBD"/>
        </w:tc>
        <w:tc>
          <w:tcPr>
            <w:tcW w:w="2100" w:type="dxa"/>
            <w:shd w:val="clear" w:color="auto" w:fill="auto"/>
            <w:vAlign w:val="bottom"/>
          </w:tcPr>
          <w:p w:rsidR="00797BBD" w:rsidRDefault="00797BBD"/>
        </w:tc>
        <w:tc>
          <w:tcPr>
            <w:tcW w:w="1995" w:type="dxa"/>
            <w:shd w:val="clear" w:color="auto" w:fill="auto"/>
            <w:vAlign w:val="bottom"/>
          </w:tcPr>
          <w:p w:rsidR="00797BBD" w:rsidRDefault="00797BBD"/>
        </w:tc>
        <w:tc>
          <w:tcPr>
            <w:tcW w:w="1650" w:type="dxa"/>
            <w:shd w:val="clear" w:color="auto" w:fill="auto"/>
            <w:vAlign w:val="bottom"/>
          </w:tcPr>
          <w:p w:rsidR="00797BBD" w:rsidRDefault="00797BBD"/>
        </w:tc>
        <w:tc>
          <w:tcPr>
            <w:tcW w:w="1905" w:type="dxa"/>
            <w:shd w:val="clear" w:color="auto" w:fill="auto"/>
            <w:vAlign w:val="bottom"/>
          </w:tcPr>
          <w:p w:rsidR="00797BBD" w:rsidRDefault="00797BBD"/>
        </w:tc>
      </w:tr>
      <w:tr w:rsidR="00797BBD">
        <w:tblPrEx>
          <w:tblCellMar>
            <w:top w:w="0" w:type="dxa"/>
            <w:bottom w:w="0" w:type="dxa"/>
          </w:tblCellMar>
        </w:tblPrEx>
        <w:trPr>
          <w:cantSplit/>
        </w:trPr>
        <w:tc>
          <w:tcPr>
            <w:tcW w:w="12765" w:type="dxa"/>
            <w:gridSpan w:val="7"/>
            <w:shd w:val="clear" w:color="auto" w:fill="auto"/>
            <w:vAlign w:val="bottom"/>
          </w:tcPr>
          <w:p w:rsidR="00797BBD" w:rsidRDefault="00C30657">
            <w:pPr>
              <w:jc w:val="center"/>
            </w:pPr>
            <w:r>
              <w:rPr>
                <w:rFonts w:ascii="Times New Roman" w:hAnsi="Times New Roman"/>
                <w:b/>
                <w:sz w:val="28"/>
                <w:szCs w:val="28"/>
              </w:rPr>
              <w:t>Уважаемые господа!</w:t>
            </w:r>
          </w:p>
        </w:tc>
        <w:tc>
          <w:tcPr>
            <w:tcW w:w="1995" w:type="dxa"/>
            <w:shd w:val="clear" w:color="auto" w:fill="auto"/>
            <w:vAlign w:val="bottom"/>
          </w:tcPr>
          <w:p w:rsidR="00797BBD" w:rsidRDefault="00797BBD"/>
        </w:tc>
        <w:tc>
          <w:tcPr>
            <w:tcW w:w="1650" w:type="dxa"/>
            <w:shd w:val="clear" w:color="auto" w:fill="auto"/>
            <w:vAlign w:val="bottom"/>
          </w:tcPr>
          <w:p w:rsidR="00797BBD" w:rsidRDefault="00797BBD"/>
        </w:tc>
        <w:tc>
          <w:tcPr>
            <w:tcW w:w="1905" w:type="dxa"/>
            <w:shd w:val="clear" w:color="auto" w:fill="auto"/>
            <w:vAlign w:val="bottom"/>
          </w:tcPr>
          <w:p w:rsidR="00797BBD" w:rsidRDefault="00797BBD"/>
        </w:tc>
      </w:tr>
      <w:tr w:rsidR="00797BBD">
        <w:tblPrEx>
          <w:tblCellMar>
            <w:top w:w="0" w:type="dxa"/>
            <w:bottom w:w="0" w:type="dxa"/>
          </w:tblCellMar>
        </w:tblPrEx>
        <w:trPr>
          <w:cantSplit/>
        </w:trPr>
        <w:tc>
          <w:tcPr>
            <w:tcW w:w="18315" w:type="dxa"/>
            <w:gridSpan w:val="10"/>
            <w:shd w:val="clear" w:color="auto" w:fill="auto"/>
            <w:vAlign w:val="bottom"/>
          </w:tcPr>
          <w:p w:rsidR="00797BBD" w:rsidRDefault="00C30657">
            <w:pPr>
              <w:jc w:val="cente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797BB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vAlign w:val="center"/>
          </w:tcPr>
          <w:p w:rsidR="00797BBD" w:rsidRDefault="00C30657">
            <w:pPr>
              <w:jc w:val="center"/>
            </w:pPr>
            <w:r>
              <w:rPr>
                <w:rFonts w:ascii="Times New Roman" w:hAnsi="Times New Roman"/>
                <w:b/>
                <w:sz w:val="24"/>
                <w:szCs w:val="24"/>
              </w:rPr>
              <w:t>№ п/п</w:t>
            </w:r>
          </w:p>
        </w:tc>
        <w:tc>
          <w:tcPr>
            <w:tcW w:w="2535" w:type="dxa"/>
            <w:tcBorders>
              <w:top w:val="single" w:sz="5" w:space="0" w:color="auto"/>
              <w:bottom w:val="single" w:sz="5" w:space="0" w:color="auto"/>
              <w:right w:val="single" w:sz="5" w:space="0" w:color="auto"/>
            </w:tcBorders>
            <w:shd w:val="clear" w:color="auto" w:fill="auto"/>
            <w:vAlign w:val="center"/>
          </w:tcPr>
          <w:p w:rsidR="00797BBD" w:rsidRDefault="00C30657">
            <w:pPr>
              <w:jc w:val="center"/>
            </w:pPr>
            <w:r>
              <w:rPr>
                <w:rFonts w:ascii="Times New Roman" w:hAnsi="Times New Roman"/>
                <w:b/>
                <w:sz w:val="24"/>
                <w:szCs w:val="24"/>
              </w:rPr>
              <w:t>Наименование</w:t>
            </w:r>
          </w:p>
        </w:tc>
        <w:tc>
          <w:tcPr>
            <w:tcW w:w="3315" w:type="dxa"/>
            <w:tcBorders>
              <w:top w:val="single" w:sz="5" w:space="0" w:color="auto"/>
              <w:bottom w:val="single" w:sz="5" w:space="0" w:color="auto"/>
              <w:right w:val="single" w:sz="5" w:space="0" w:color="auto"/>
            </w:tcBorders>
            <w:shd w:val="clear" w:color="auto" w:fill="auto"/>
            <w:vAlign w:val="center"/>
          </w:tcPr>
          <w:p w:rsidR="00797BBD" w:rsidRDefault="00C30657">
            <w:pPr>
              <w:jc w:val="center"/>
            </w:pPr>
            <w:r>
              <w:rPr>
                <w:rFonts w:ascii="Times New Roman" w:hAnsi="Times New Roman"/>
                <w:b/>
                <w:sz w:val="24"/>
                <w:szCs w:val="24"/>
              </w:rPr>
              <w:t>Характеристики</w:t>
            </w:r>
          </w:p>
        </w:tc>
        <w:tc>
          <w:tcPr>
            <w:tcW w:w="1125" w:type="dxa"/>
            <w:tcBorders>
              <w:top w:val="single" w:sz="5" w:space="0" w:color="auto"/>
              <w:bottom w:val="single" w:sz="5" w:space="0" w:color="auto"/>
              <w:right w:val="single" w:sz="5" w:space="0" w:color="auto"/>
            </w:tcBorders>
            <w:shd w:val="clear" w:color="auto" w:fill="auto"/>
            <w:vAlign w:val="center"/>
          </w:tcPr>
          <w:p w:rsidR="00797BBD" w:rsidRDefault="00C30657">
            <w:pPr>
              <w:jc w:val="center"/>
            </w:pPr>
            <w:r>
              <w:rPr>
                <w:rFonts w:ascii="Times New Roman" w:hAnsi="Times New Roman"/>
                <w:b/>
                <w:sz w:val="24"/>
                <w:szCs w:val="24"/>
              </w:rPr>
              <w:t>Ед. изм.</w:t>
            </w:r>
          </w:p>
        </w:tc>
        <w:tc>
          <w:tcPr>
            <w:tcW w:w="1275" w:type="dxa"/>
            <w:tcBorders>
              <w:top w:val="single" w:sz="5" w:space="0" w:color="auto"/>
              <w:bottom w:val="single" w:sz="5" w:space="0" w:color="auto"/>
              <w:right w:val="single" w:sz="5" w:space="0" w:color="auto"/>
            </w:tcBorders>
            <w:shd w:val="clear" w:color="auto" w:fill="auto"/>
            <w:vAlign w:val="center"/>
          </w:tcPr>
          <w:p w:rsidR="00797BBD" w:rsidRDefault="00C30657">
            <w:pPr>
              <w:jc w:val="cente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auto" w:fill="auto"/>
            <w:vAlign w:val="center"/>
          </w:tcPr>
          <w:p w:rsidR="00797BBD" w:rsidRDefault="00C30657">
            <w:pPr>
              <w:jc w:val="center"/>
            </w:pPr>
            <w:r>
              <w:rPr>
                <w:rFonts w:ascii="Times New Roman" w:hAnsi="Times New Roman"/>
                <w:b/>
                <w:sz w:val="24"/>
                <w:szCs w:val="24"/>
              </w:rPr>
              <w:t>Цена, рублей</w:t>
            </w:r>
          </w:p>
        </w:tc>
        <w:tc>
          <w:tcPr>
            <w:tcW w:w="2100" w:type="dxa"/>
            <w:tcBorders>
              <w:top w:val="single" w:sz="5" w:space="0" w:color="auto"/>
              <w:bottom w:val="single" w:sz="5" w:space="0" w:color="auto"/>
              <w:right w:val="single" w:sz="5" w:space="0" w:color="auto"/>
            </w:tcBorders>
            <w:shd w:val="clear" w:color="auto" w:fill="auto"/>
            <w:vAlign w:val="center"/>
          </w:tcPr>
          <w:p w:rsidR="00797BBD" w:rsidRDefault="00C30657">
            <w:pPr>
              <w:jc w:val="cente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auto" w:fill="auto"/>
            <w:vAlign w:val="center"/>
          </w:tcPr>
          <w:p w:rsidR="00797BBD" w:rsidRDefault="00C30657">
            <w:pPr>
              <w:jc w:val="center"/>
            </w:pPr>
            <w:r>
              <w:rPr>
                <w:rFonts w:ascii="Times New Roman" w:hAnsi="Times New Roman"/>
                <w:b/>
                <w:sz w:val="24"/>
                <w:szCs w:val="24"/>
              </w:rPr>
              <w:t>Остаточный срок годности</w:t>
            </w:r>
          </w:p>
        </w:tc>
        <w:tc>
          <w:tcPr>
            <w:tcW w:w="1650" w:type="dxa"/>
            <w:tcBorders>
              <w:top w:val="single" w:sz="5" w:space="0" w:color="auto"/>
              <w:left w:val="single" w:sz="5" w:space="0" w:color="auto"/>
              <w:bottom w:val="single" w:sz="5" w:space="0" w:color="auto"/>
              <w:right w:val="single" w:sz="5" w:space="0" w:color="auto"/>
            </w:tcBorders>
            <w:shd w:val="clear" w:color="auto" w:fill="auto"/>
            <w:vAlign w:val="center"/>
          </w:tcPr>
          <w:p w:rsidR="00797BBD" w:rsidRDefault="00C30657">
            <w:pPr>
              <w:jc w:val="center"/>
            </w:pPr>
            <w:r>
              <w:rPr>
                <w:rFonts w:ascii="Times New Roman" w:hAnsi="Times New Roman"/>
                <w:b/>
                <w:sz w:val="24"/>
                <w:szCs w:val="24"/>
              </w:rPr>
              <w:t>ОКПД2\КТРУ</w:t>
            </w:r>
          </w:p>
        </w:tc>
        <w:tc>
          <w:tcPr>
            <w:tcW w:w="1905" w:type="dxa"/>
            <w:tcBorders>
              <w:top w:val="single" w:sz="5" w:space="0" w:color="auto"/>
              <w:left w:val="single" w:sz="5" w:space="0" w:color="auto"/>
              <w:bottom w:val="single" w:sz="5" w:space="0" w:color="auto"/>
              <w:right w:val="single" w:sz="5" w:space="0" w:color="auto"/>
            </w:tcBorders>
            <w:shd w:val="clear" w:color="auto" w:fill="auto"/>
            <w:vAlign w:val="center"/>
          </w:tcPr>
          <w:p w:rsidR="00797BBD" w:rsidRDefault="00C30657">
            <w:pPr>
              <w:jc w:val="center"/>
            </w:pPr>
            <w:r>
              <w:rPr>
                <w:rFonts w:ascii="Times New Roman" w:hAnsi="Times New Roman"/>
                <w:b/>
                <w:sz w:val="24"/>
                <w:szCs w:val="24"/>
              </w:rPr>
              <w:t>Код вида МИ</w:t>
            </w:r>
          </w:p>
        </w:tc>
      </w:tr>
      <w:tr w:rsidR="00797BB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1</w:t>
            </w:r>
          </w:p>
        </w:tc>
        <w:tc>
          <w:tcPr>
            <w:tcW w:w="253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Воск костный 2,5 г №24</w:t>
            </w:r>
          </w:p>
        </w:tc>
        <w:tc>
          <w:tcPr>
            <w:tcW w:w="331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Нерассасывающийся стерильный хирургический материал, Воск приобретает пластичность, достаточную для использования в живых тканях, при нагревании в руках в течение времени - 1 минуты. Хирургический воск имеет белый цвет</w:t>
            </w:r>
            <w:r>
              <w:rPr>
                <w:rFonts w:ascii="Times New Roman" w:hAnsi="Times New Roman"/>
                <w:sz w:val="24"/>
                <w:szCs w:val="24"/>
              </w:rPr>
              <w:t xml:space="preserve"> и поставляется в твердом виде, индивидуальная упаковка, пластинки  2.5 гр.,   24 штук в упаковке.</w:t>
            </w:r>
          </w:p>
        </w:tc>
        <w:tc>
          <w:tcPr>
            <w:tcW w:w="112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26</w:t>
            </w:r>
          </w:p>
        </w:tc>
        <w:tc>
          <w:tcPr>
            <w:tcW w:w="147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210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r>
      <w:tr w:rsidR="00797BB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lastRenderedPageBreak/>
              <w:t>2</w:t>
            </w:r>
          </w:p>
        </w:tc>
        <w:tc>
          <w:tcPr>
            <w:tcW w:w="253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Датчик ВЧД интравентрикулярный</w:t>
            </w:r>
          </w:p>
        </w:tc>
        <w:tc>
          <w:tcPr>
            <w:tcW w:w="331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 xml:space="preserve">Датчик ВЧД интравентрикулярный, предназначен для измерения ВЧД в желудочках головного мозга с помощью </w:t>
            </w:r>
            <w:r>
              <w:rPr>
                <w:rFonts w:ascii="Times New Roman" w:hAnsi="Times New Roman"/>
                <w:sz w:val="24"/>
                <w:szCs w:val="24"/>
              </w:rPr>
              <w:t>микропневматической системы, представляет собой две независимых гибких трубки, которые в дистальной части соединяются в одну двухпросветную. На дистальном конце одной трубки должен находиться воздушный мешок, а на проксимальном конце - Луер-разъём с фильтр</w:t>
            </w:r>
            <w:r>
              <w:rPr>
                <w:rFonts w:ascii="Times New Roman" w:hAnsi="Times New Roman"/>
                <w:sz w:val="24"/>
                <w:szCs w:val="24"/>
              </w:rPr>
              <w:t>ом для подключения к монитору ВЧД. Вторая трубка служит для дренирования спиномозговой жидкости и должна иметь не менее 4 отверстий на дистальном конце. Материал воздушного мешка - полиуретан. Максимальный объем заполнения воздушного мешка должен быть мене</w:t>
            </w:r>
            <w:r>
              <w:rPr>
                <w:rFonts w:ascii="Times New Roman" w:hAnsi="Times New Roman"/>
                <w:sz w:val="24"/>
                <w:szCs w:val="24"/>
              </w:rPr>
              <w:t>е 0,15 мл. Внутренний диаметр дренажной трубки - не менее 1 мм. Длина двухпросветной части - не менее 130 мм, наружный диаметр не более 2,3 мм. Длина дренажной трубки - не менее 270 мм.  Длина трубки с воздушным мешком - не менее 1500 мм. Двухпросветная ча</w:t>
            </w:r>
            <w:r>
              <w:rPr>
                <w:rFonts w:ascii="Times New Roman" w:hAnsi="Times New Roman"/>
                <w:sz w:val="24"/>
                <w:szCs w:val="24"/>
              </w:rPr>
              <w:t>сть должна иметь не менее 10 рентгенконтрастных меток с интервалом 5 мм указывающих глубину имплантации. Первая рентгенконтрастная метка должна быть расположена на расстоянии не менее 50 мм от дистального конца датчика. Последняя рентгенконтрастная метка д</w:t>
            </w:r>
            <w:r>
              <w:rPr>
                <w:rFonts w:ascii="Times New Roman" w:hAnsi="Times New Roman"/>
                <w:sz w:val="24"/>
                <w:szCs w:val="24"/>
              </w:rPr>
              <w:t>олжна быть расположена на расстоянии не более 100 мм от дистального конца датчика. Максимальная продолжительность использования - не менее 30 дней. Датчик должен иметь возможность измерять ВЧД в паренхиме головного мозга, при отсутствии возможности имплант</w:t>
            </w:r>
            <w:r>
              <w:rPr>
                <w:rFonts w:ascii="Times New Roman" w:hAnsi="Times New Roman"/>
                <w:sz w:val="24"/>
                <w:szCs w:val="24"/>
              </w:rPr>
              <w:t>ации в желудочек. Не должен содержать латекс. Датчик должен быть одноразового применения и поставляться в двойной стерильной упаковке.</w:t>
            </w:r>
          </w:p>
        </w:tc>
        <w:tc>
          <w:tcPr>
            <w:tcW w:w="112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210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r>
      <w:tr w:rsidR="00797BB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lastRenderedPageBreak/>
              <w:t>3</w:t>
            </w:r>
          </w:p>
        </w:tc>
        <w:tc>
          <w:tcPr>
            <w:tcW w:w="253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Имплантат для закрытия дефектов твердой мозговой оболочки 7,62 х 7,62 см №5</w:t>
            </w:r>
          </w:p>
        </w:tc>
        <w:tc>
          <w:tcPr>
            <w:tcW w:w="331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 xml:space="preserve">Имплантат для закрытия </w:t>
            </w:r>
            <w:r>
              <w:rPr>
                <w:rFonts w:ascii="Times New Roman" w:hAnsi="Times New Roman"/>
                <w:sz w:val="24"/>
                <w:szCs w:val="24"/>
              </w:rPr>
              <w:t>дефектов твердой мозговой оболочки головного и  спинного мозга. Используется  в качестве противоспаечного барьера. Не нужно сшивать. Рассасывающийся. Размер 7.62 см х 7.62 см (5 штук в упаковке). Изготовлен на основе бычьего коллагена 1го типа.  Содержание</w:t>
            </w:r>
            <w:r>
              <w:rPr>
                <w:rFonts w:ascii="Times New Roman" w:hAnsi="Times New Roman"/>
                <w:sz w:val="24"/>
                <w:szCs w:val="24"/>
              </w:rPr>
              <w:t xml:space="preserve"> натурального коллагена  80%, неколлагенновые протеины  1%, липиды  1%, влажность 20%, остальное 5%. Уровень pH 2.5 - 3.2. Поставляется  в двойной стерильной упаковке. Простерилизован радиацией.</w:t>
            </w:r>
          </w:p>
        </w:tc>
        <w:tc>
          <w:tcPr>
            <w:tcW w:w="112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210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r>
      <w:tr w:rsidR="00797BB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lastRenderedPageBreak/>
              <w:t>4</w:t>
            </w:r>
          </w:p>
        </w:tc>
        <w:tc>
          <w:tcPr>
            <w:tcW w:w="253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 xml:space="preserve">Имплантат Lyoplant  для закрытия дефектов </w:t>
            </w:r>
            <w:r>
              <w:rPr>
                <w:rFonts w:ascii="Times New Roman" w:hAnsi="Times New Roman"/>
                <w:sz w:val="24"/>
                <w:szCs w:val="24"/>
              </w:rPr>
              <w:t>твердой мозговой оболочки</w:t>
            </w:r>
          </w:p>
        </w:tc>
        <w:tc>
          <w:tcPr>
            <w:tcW w:w="331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 xml:space="preserve">Имплантат для закрытия дефектов твердой мозговой оболочки головного или спинного мозга. Может быть использован в качестве противоспаечного барьера для предотвращения послеоперационного перидурального фиброза. Рассасывающийся, </w:t>
            </w:r>
            <w:r>
              <w:rPr>
                <w:rFonts w:ascii="Times New Roman" w:hAnsi="Times New Roman"/>
                <w:sz w:val="24"/>
                <w:szCs w:val="24"/>
              </w:rPr>
              <w:t xml:space="preserve">биосовместимый, двуслойный. Должен накладываться как без подшивания, так и с подшиванием. Размер: ширина не менее 50 мм и не более 75 мм, длина не менее 70 мм и не более 75 мм. Должен быть изготовлен на основе бычьего коллагена: верхний слой из коллагена, </w:t>
            </w:r>
            <w:r>
              <w:rPr>
                <w:rFonts w:ascii="Times New Roman" w:hAnsi="Times New Roman"/>
                <w:sz w:val="24"/>
                <w:szCs w:val="24"/>
              </w:rPr>
              <w:t>полученного из коровьего перикарда; нижний слой – из очищенной коровьей кожи. Слои должны быть соединены методом лиофилизации, без помощи химических связующих. Полное восстановление твердой мозговой оболочки после протезирования не более 3 месяцев. Индивид</w:t>
            </w:r>
            <w:r>
              <w:rPr>
                <w:rFonts w:ascii="Times New Roman" w:hAnsi="Times New Roman"/>
                <w:sz w:val="24"/>
                <w:szCs w:val="24"/>
              </w:rPr>
              <w:t>уальная двухслойная стерильная упаковка. Указание срока стерильности изделия и номера партии на упаковке. Стерилизация этиленоксидом, без возможности рестерилизации. В упаковке 1 шт.</w:t>
            </w:r>
          </w:p>
        </w:tc>
        <w:tc>
          <w:tcPr>
            <w:tcW w:w="112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210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r>
      <w:tr w:rsidR="00797BB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lastRenderedPageBreak/>
              <w:t>5</w:t>
            </w:r>
          </w:p>
        </w:tc>
        <w:tc>
          <w:tcPr>
            <w:tcW w:w="253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Катетер вентрикулярный 35 см с принадлежностями</w:t>
            </w:r>
          </w:p>
        </w:tc>
        <w:tc>
          <w:tcPr>
            <w:tcW w:w="331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Катетер для</w:t>
            </w:r>
            <w:r>
              <w:rPr>
                <w:rFonts w:ascii="Times New Roman" w:hAnsi="Times New Roman"/>
                <w:sz w:val="24"/>
                <w:szCs w:val="24"/>
              </w:rPr>
              <w:t xml:space="preserve"> наружного вентрикулярного дренажа. Комплект катетера включает: катетер длиной 35 см, стилет из нержавеющей стали длиной 36 см, троакар из нержавеющей стали и «женский» коннектор типа Луэра. Внутренний диаметр катетера 1,5 мм, внешний – 3,1 мм. На конце ка</w:t>
            </w:r>
            <w:r>
              <w:rPr>
                <w:rFonts w:ascii="Times New Roman" w:hAnsi="Times New Roman"/>
                <w:sz w:val="24"/>
                <w:szCs w:val="24"/>
              </w:rPr>
              <w:t>тетера находятся 20 отверстий для ликвора. На внешней стороне катетера нанесена маркировка глубины введения в сантиметрах – начиная с 3 см от конца катетера и до 15 сантиметров от конца катетера (через каждый сантиметр). Катетер с пропиткой антибиотиками 0</w:t>
            </w:r>
            <w:r>
              <w:rPr>
                <w:rFonts w:ascii="Times New Roman" w:hAnsi="Times New Roman"/>
                <w:sz w:val="24"/>
                <w:szCs w:val="24"/>
              </w:rPr>
              <w:t>,15% клиндамицин и 0,054 % рифампицин. Антибиотики выделяются за  28 дней после имплантации на внутренюю и внешнюю поверхность катетера. Поставляется в стерильной упаковке.</w:t>
            </w:r>
          </w:p>
        </w:tc>
        <w:tc>
          <w:tcPr>
            <w:tcW w:w="112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210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r>
      <w:tr w:rsidR="00797BB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lastRenderedPageBreak/>
              <w:t>6</w:t>
            </w:r>
          </w:p>
        </w:tc>
        <w:tc>
          <w:tcPr>
            <w:tcW w:w="253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Клипс для закрытия трепанационного отверстия</w:t>
            </w:r>
          </w:p>
        </w:tc>
        <w:tc>
          <w:tcPr>
            <w:tcW w:w="331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Имплантируемое изделие,</w:t>
            </w:r>
            <w:r>
              <w:rPr>
                <w:rFonts w:ascii="Times New Roman" w:hAnsi="Times New Roman"/>
                <w:sz w:val="24"/>
                <w:szCs w:val="24"/>
              </w:rPr>
              <w:t xml:space="preserve"> предназначенное для двухсторонней фиксации костного лоскута после краниотомии и закрытия трепанационных отверстий. Нерассасывающийся. Биосовместимый и биоинертный. Материал - титановый сплав. Представляет собой две пластины и стержень с резьбой и втулкой:</w:t>
            </w:r>
            <w:r>
              <w:rPr>
                <w:rFonts w:ascii="Times New Roman" w:hAnsi="Times New Roman"/>
                <w:sz w:val="24"/>
                <w:szCs w:val="24"/>
              </w:rPr>
              <w:t xml:space="preserve"> нижняя пластина соединена со стержнем, верхняя пластина подвижна. Размеры: диаметр каждой пластины 11 мм, длина стержня 51 мм. Форма пластин: выпукло-вогнутые диски и блокирующие зубцы, проходящие вдоль всего края вогнутой стороны, для фиксации. Без отвер</w:t>
            </w:r>
            <w:r>
              <w:rPr>
                <w:rFonts w:ascii="Times New Roman" w:hAnsi="Times New Roman"/>
                <w:sz w:val="24"/>
                <w:szCs w:val="24"/>
              </w:rPr>
              <w:t>стий. Неферромагнитный, позволяет проводить МРТ исследования в магнитном поле интенсивностью до 3 Тесла. Индивидуальная стерильная упаковка с маркировкой завода изготовителя, наименованием изделия. Совместимость с имеющимся в больнице инструментом для нало</w:t>
            </w:r>
            <w:r>
              <w:rPr>
                <w:rFonts w:ascii="Times New Roman" w:hAnsi="Times New Roman"/>
                <w:sz w:val="24"/>
                <w:szCs w:val="24"/>
              </w:rPr>
              <w:t>жения пластин, производства Jeil Medical.</w:t>
            </w:r>
          </w:p>
        </w:tc>
        <w:tc>
          <w:tcPr>
            <w:tcW w:w="112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210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r>
      <w:tr w:rsidR="00797BB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lastRenderedPageBreak/>
              <w:t>7</w:t>
            </w:r>
          </w:p>
        </w:tc>
        <w:tc>
          <w:tcPr>
            <w:tcW w:w="253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Клипс для закрытия трепанационного отверстия</w:t>
            </w:r>
          </w:p>
        </w:tc>
        <w:tc>
          <w:tcPr>
            <w:tcW w:w="331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 xml:space="preserve">Имплантируемое изделие, предназначенное для двухсторонней фиксации костного лоскута после краниотомии и закрытия трепанационных отверстий. </w:t>
            </w:r>
            <w:r>
              <w:rPr>
                <w:rFonts w:ascii="Times New Roman" w:hAnsi="Times New Roman"/>
                <w:sz w:val="24"/>
                <w:szCs w:val="24"/>
              </w:rPr>
              <w:t>Нерассасывающийся. Биосовместимый и биоинертный. Материал - титановый сплав. Представляет собой две пластины и стержень с резьбой и втулкой: нижняя пластина соединена со стержнем, верхняя пластина подвижна. Размеры: диаметр каждой пластины 16 мм, длина сте</w:t>
            </w:r>
            <w:r>
              <w:rPr>
                <w:rFonts w:ascii="Times New Roman" w:hAnsi="Times New Roman"/>
                <w:sz w:val="24"/>
                <w:szCs w:val="24"/>
              </w:rPr>
              <w:t>ржня 51 мм. Форма пластин: выпукло-вогнутые диски и блокирующие зубцы, проходящие вдоль всего края вогнутой стороны, для фиксации. Без отверстий. Неферромагнитный, позволяет проводить МРТ исследования в магнитном поле интенсивностью до 3 Тесла. Индивидуаль</w:t>
            </w:r>
            <w:r>
              <w:rPr>
                <w:rFonts w:ascii="Times New Roman" w:hAnsi="Times New Roman"/>
                <w:sz w:val="24"/>
                <w:szCs w:val="24"/>
              </w:rPr>
              <w:t>ная стерильная упаковка с маркировкой завода изготовителя, наименованием изделия. Совместимость с имеющимся в больнице инструментом для наложения пластин, производства Jeil Medical.</w:t>
            </w:r>
          </w:p>
        </w:tc>
        <w:tc>
          <w:tcPr>
            <w:tcW w:w="112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210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r>
      <w:tr w:rsidR="00797BB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lastRenderedPageBreak/>
              <w:t>8</w:t>
            </w:r>
          </w:p>
        </w:tc>
        <w:tc>
          <w:tcPr>
            <w:tcW w:w="253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 xml:space="preserve">Материал рассывающийся хирургический гемостатический </w:t>
            </w:r>
            <w:r>
              <w:rPr>
                <w:rFonts w:ascii="Times New Roman" w:hAnsi="Times New Roman"/>
                <w:sz w:val="24"/>
                <w:szCs w:val="24"/>
              </w:rPr>
              <w:t>СЕРДЖИСЕЛ ФИБРИЛЛАР 5,1 см х 10,2 см</w:t>
            </w:r>
          </w:p>
        </w:tc>
        <w:tc>
          <w:tcPr>
            <w:tcW w:w="331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Стерильный местный рассасывающийся гемостатический монокомпонентный материал на основе окисленной регенерированной целлюлозы растительного происхождения в виде семислойной нетканой волокнистой структуры, позволяющей мод</w:t>
            </w:r>
            <w:r>
              <w:rPr>
                <w:rFonts w:ascii="Times New Roman" w:hAnsi="Times New Roman"/>
                <w:sz w:val="24"/>
                <w:szCs w:val="24"/>
              </w:rPr>
              <w:t>елировать размер и форму фрагмента, для остановки капиллярных, венозных и слабых артериальных кровотечений. При контакте материала с кровью создается кислая среда (РН 2,5-3), которая усиливает его гемостатические свойства. Благодаря кислотному уровеню pH с</w:t>
            </w:r>
            <w:r>
              <w:rPr>
                <w:rFonts w:ascii="Times New Roman" w:hAnsi="Times New Roman"/>
                <w:sz w:val="24"/>
                <w:szCs w:val="24"/>
              </w:rPr>
              <w:t>оздается неблагоприятная среда для роста и развития подавляющего количества микроорганизмов: обладает доказанным бактерицидным эффектом против 5 основных штаммов патогенов, вызывающих нозокомиальные инфекции (устойчивый к метициллину Staphylococcus aureus,</w:t>
            </w:r>
            <w:r>
              <w:rPr>
                <w:rFonts w:ascii="Times New Roman" w:hAnsi="Times New Roman"/>
                <w:sz w:val="24"/>
                <w:szCs w:val="24"/>
              </w:rPr>
              <w:t xml:space="preserve"> устойчивый к метициллину Staphylococcus epidermidis, устойчивый к ванкомицину Enterococcus faecium, Escherichia coli and Pseudomonas aeruginosa, а также против  широкого спектра грамположительных и грамотрицательных микроорганизмов включая другие антибиот</w:t>
            </w:r>
            <w:r>
              <w:rPr>
                <w:rFonts w:ascii="Times New Roman" w:hAnsi="Times New Roman"/>
                <w:sz w:val="24"/>
                <w:szCs w:val="24"/>
              </w:rPr>
              <w:t>икоустойчивые штаммы MRSA, MRSE, PRSP, VRE. Возможность проведения электрокоагуляции через ткань гемостатика. Размер  не менее 5.1 х 10.2 см.  Форма поставки по 10 штук в коробке, каждая штука в индивидуальной стерильной упаковке. Хранение при комнатной те</w:t>
            </w:r>
            <w:r>
              <w:rPr>
                <w:rFonts w:ascii="Times New Roman" w:hAnsi="Times New Roman"/>
                <w:sz w:val="24"/>
                <w:szCs w:val="24"/>
              </w:rPr>
              <w:t>мпературе, не ниже 15℃ в течение всего срока годности.</w:t>
            </w:r>
          </w:p>
        </w:tc>
        <w:tc>
          <w:tcPr>
            <w:tcW w:w="112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210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r>
      <w:tr w:rsidR="00797BB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lastRenderedPageBreak/>
              <w:t>9</w:t>
            </w:r>
          </w:p>
        </w:tc>
        <w:tc>
          <w:tcPr>
            <w:tcW w:w="253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Мешок для сбора цереброспинальной жидкости 700 мл, одноразовый №5</w:t>
            </w:r>
          </w:p>
        </w:tc>
        <w:tc>
          <w:tcPr>
            <w:tcW w:w="331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 xml:space="preserve">Мешки пластиковые для сбора спинномозговой жидкости объемом 700 мл. 5 штук в упаковке. Поставляется в стерильной </w:t>
            </w:r>
            <w:r>
              <w:rPr>
                <w:rFonts w:ascii="Times New Roman" w:hAnsi="Times New Roman"/>
                <w:sz w:val="24"/>
                <w:szCs w:val="24"/>
              </w:rPr>
              <w:t>упаковке.</w:t>
            </w:r>
          </w:p>
        </w:tc>
        <w:tc>
          <w:tcPr>
            <w:tcW w:w="112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210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r>
      <w:tr w:rsidR="00797BB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10</w:t>
            </w:r>
          </w:p>
        </w:tc>
        <w:tc>
          <w:tcPr>
            <w:tcW w:w="253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Система для наружного люмбального дренажа</w:t>
            </w:r>
          </w:p>
        </w:tc>
        <w:tc>
          <w:tcPr>
            <w:tcW w:w="331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 xml:space="preserve">Комплект наружного люмбального дренажа. Комплект включает рентгеноконтрастный люмбальный катетер длиной 80 см с закрытым концом, проводник длиной 100 см с тефлоновым покрытием, иглу Туохи </w:t>
            </w:r>
            <w:r>
              <w:rPr>
                <w:rFonts w:ascii="Times New Roman" w:hAnsi="Times New Roman"/>
                <w:sz w:val="24"/>
                <w:szCs w:val="24"/>
              </w:rPr>
              <w:t>14 G с метками глубины через каждый 1 см, "female" коннектор типа Луэра с заглушкой. Поставляется в стерильной упаковке.</w:t>
            </w:r>
          </w:p>
        </w:tc>
        <w:tc>
          <w:tcPr>
            <w:tcW w:w="112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21</w:t>
            </w:r>
          </w:p>
        </w:tc>
        <w:tc>
          <w:tcPr>
            <w:tcW w:w="147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210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r>
      <w:tr w:rsidR="00797BB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lastRenderedPageBreak/>
              <w:t>11</w:t>
            </w:r>
          </w:p>
        </w:tc>
        <w:tc>
          <w:tcPr>
            <w:tcW w:w="253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Набор матрицы гемостатической  с гибким наконечником и тромбином СЕРДЖИФЛО С ТРОМБИНОМ</w:t>
            </w:r>
          </w:p>
        </w:tc>
        <w:tc>
          <w:tcPr>
            <w:tcW w:w="331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 xml:space="preserve">Набор для приготовления </w:t>
            </w:r>
            <w:r>
              <w:rPr>
                <w:rFonts w:ascii="Times New Roman" w:hAnsi="Times New Roman"/>
                <w:sz w:val="24"/>
                <w:szCs w:val="24"/>
              </w:rPr>
              <w:t>стерильной рассасывающейся гемостатической матрицы пенистой консистенции, которая позволяет применять его при кровотечениях в труднодоступных местах и неровных поверхностях, например, спилах кости.  Срок рассасывания составляет 4-6 недель и зависит от инди</w:t>
            </w:r>
            <w:r>
              <w:rPr>
                <w:rFonts w:ascii="Times New Roman" w:hAnsi="Times New Roman"/>
                <w:sz w:val="24"/>
                <w:szCs w:val="24"/>
              </w:rPr>
              <w:t>видуальных особенностей пациента. Комплект состоит из двух шприцов объемом 10 мл каждый, в одном из которых желатиновая гемостатическая матрица объемом 6 мл, второй предназначен для переноса раствора тромбина и разведения им желатина, флакона с лиофилизиро</w:t>
            </w:r>
            <w:r>
              <w:rPr>
                <w:rFonts w:ascii="Times New Roman" w:hAnsi="Times New Roman"/>
                <w:sz w:val="24"/>
                <w:szCs w:val="24"/>
              </w:rPr>
              <w:t>ванным человеческим тромбином, безиглового шприца со стерильной водой объемом 2 мл, адаптера для флакона, емкости для переноса раствора тромбина,  двух наконечников. Простой белый наконечник длиной 14,3 см может быть отрезан до нужной длины; синий наконечн</w:t>
            </w:r>
            <w:r>
              <w:rPr>
                <w:rFonts w:ascii="Times New Roman" w:hAnsi="Times New Roman"/>
                <w:sz w:val="24"/>
                <w:szCs w:val="24"/>
              </w:rPr>
              <w:t>ик длиной 14,6 см с памятью формы. Время приготовлерия продукта - не более 1,5 минуты. Приготовленный продукт может быть использован в течение 8 часов.  Набор стерильный, для одноразового использования. Хранение и транспортировка при температуре от 2 до 25</w:t>
            </w:r>
            <w:r>
              <w:rPr>
                <w:rFonts w:ascii="Times New Roman" w:hAnsi="Times New Roman"/>
                <w:sz w:val="24"/>
                <w:szCs w:val="24"/>
              </w:rPr>
              <w:t>℃. Форма поставки - одна штука в коробке.</w:t>
            </w:r>
          </w:p>
        </w:tc>
        <w:tc>
          <w:tcPr>
            <w:tcW w:w="112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210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r>
      <w:tr w:rsidR="00797BB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lastRenderedPageBreak/>
              <w:t>12</w:t>
            </w:r>
          </w:p>
        </w:tc>
        <w:tc>
          <w:tcPr>
            <w:tcW w:w="253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Пинцет биполярный прямой</w:t>
            </w:r>
          </w:p>
        </w:tc>
        <w:tc>
          <w:tcPr>
            <w:tcW w:w="331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 xml:space="preserve">Назначение: для биполярной коагуляции. Пинцет стерильный, одноразового применения. Пинцет байонетной формы, рабочая часть прямая, узкий дизайн для лучшего обзора под </w:t>
            </w:r>
            <w:r>
              <w:rPr>
                <w:rFonts w:ascii="Times New Roman" w:hAnsi="Times New Roman"/>
                <w:sz w:val="24"/>
                <w:szCs w:val="24"/>
              </w:rPr>
              <w:t xml:space="preserve">микроскопом; эргономичный дизайн рукоятки с широкими, рифлеными поверхностями для лучшего захвата инструмента и предотвращения скольжения, шириной не менннее 11 мм и не более 11,5 мм для соответсвующей эргономики. Бранши должны быть выполнены из полиамида </w:t>
            </w:r>
            <w:r>
              <w:rPr>
                <w:rFonts w:ascii="Times New Roman" w:hAnsi="Times New Roman"/>
                <w:sz w:val="24"/>
                <w:szCs w:val="24"/>
              </w:rPr>
              <w:t xml:space="preserve">марки Rilsan PA11 обладающим высокой теплопроводностью для быстрого отвода избытка тепла. Длина бранш (рабочей части) 85 мм. Длина изделия 200 мм. Кончики пинцета должны обладать антипригарным свойством, выполнены из серебро с покрытыем из твердого сплава </w:t>
            </w:r>
            <w:r>
              <w:rPr>
                <w:rFonts w:ascii="Times New Roman" w:hAnsi="Times New Roman"/>
                <w:sz w:val="24"/>
                <w:szCs w:val="24"/>
              </w:rPr>
              <w:t>серебра. Наконечники должны быть прямой формы, шириной 0,2 мм длиной 6 мм. Ширина рабочей части наконечника должен быть указан на пинцете для быстрой идентификации персоналом. На проксимальном конце расположено кабельное соединение стандартный двухконтактн</w:t>
            </w:r>
            <w:r>
              <w:rPr>
                <w:rFonts w:ascii="Times New Roman" w:hAnsi="Times New Roman"/>
                <w:sz w:val="24"/>
                <w:szCs w:val="24"/>
              </w:rPr>
              <w:t>ый разъем для обеспечения совместимости с широким спектром генераторов. (имеющимся у заказчика) . Поставляются в индивидуальной стерильной упаковке. В упаковке 1 шт.</w:t>
            </w:r>
          </w:p>
        </w:tc>
        <w:tc>
          <w:tcPr>
            <w:tcW w:w="112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210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r>
      <w:tr w:rsidR="00797BB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lastRenderedPageBreak/>
              <w:t>13</w:t>
            </w:r>
          </w:p>
        </w:tc>
        <w:tc>
          <w:tcPr>
            <w:tcW w:w="253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Пинцет биполярный прямой</w:t>
            </w:r>
          </w:p>
        </w:tc>
        <w:tc>
          <w:tcPr>
            <w:tcW w:w="331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 xml:space="preserve">Назначение: для биполярной коагуляции. Пинцет </w:t>
            </w:r>
            <w:r>
              <w:rPr>
                <w:rFonts w:ascii="Times New Roman" w:hAnsi="Times New Roman"/>
                <w:sz w:val="24"/>
                <w:szCs w:val="24"/>
              </w:rPr>
              <w:t>стерильный, одноразового применения. Пинцет байонетной формы, рабочая часть прямая, узкий дизайн для лучшего обзора под микроскопом; эргономичный дизайн рукоятки с широкими, рифлеными поверхностями для лучшего захвата инструмента и предотвращения скольжени</w:t>
            </w:r>
            <w:r>
              <w:rPr>
                <w:rFonts w:ascii="Times New Roman" w:hAnsi="Times New Roman"/>
                <w:sz w:val="24"/>
                <w:szCs w:val="24"/>
              </w:rPr>
              <w:t>я, шириной не менннее 11 мм и не более 11,5 мм для соответсвующей эргономики. Бранши должны быть выполнены из полиамида марки Rilsan PA11 обладающим высокой теплопроводностью для быстрого отвода избытка тепла. Длина бранш (рабочей части) 115 мм. Длина изде</w:t>
            </w:r>
            <w:r>
              <w:rPr>
                <w:rFonts w:ascii="Times New Roman" w:hAnsi="Times New Roman"/>
                <w:sz w:val="24"/>
                <w:szCs w:val="24"/>
              </w:rPr>
              <w:t>лия 230 мм. Кончики пинцета должны обладать антипригарным свойством, выполнены из серебро с покрытыем из твердого сплава серебра. Наконечники должны быть прямой формы, шириной 0,4 мм длиной 6 мм. Ширина рабочей части наконечника должен быть указан на пинце</w:t>
            </w:r>
            <w:r>
              <w:rPr>
                <w:rFonts w:ascii="Times New Roman" w:hAnsi="Times New Roman"/>
                <w:sz w:val="24"/>
                <w:szCs w:val="24"/>
              </w:rPr>
              <w:t>те для быстрой идентификации персоналом. На проксимальном конце расположено кабельное соединение стандартный двухконтактный разъем для обеспечения совместимости с широким спектром генераторов. (имеющимся у заказчика) . Поставляются в индивидуальной стериль</w:t>
            </w:r>
            <w:r>
              <w:rPr>
                <w:rFonts w:ascii="Times New Roman" w:hAnsi="Times New Roman"/>
                <w:sz w:val="24"/>
                <w:szCs w:val="24"/>
              </w:rPr>
              <w:t>ной упаковке. В упаковке 1 шт.</w:t>
            </w:r>
          </w:p>
        </w:tc>
        <w:tc>
          <w:tcPr>
            <w:tcW w:w="112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210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r>
      <w:tr w:rsidR="00797BB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lastRenderedPageBreak/>
              <w:t>14</w:t>
            </w:r>
          </w:p>
        </w:tc>
        <w:tc>
          <w:tcPr>
            <w:tcW w:w="253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Пинцет биполярный прямой</w:t>
            </w:r>
          </w:p>
        </w:tc>
        <w:tc>
          <w:tcPr>
            <w:tcW w:w="331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 xml:space="preserve">Назначение: для биполярной коагуляции. Пинцет стерильный, одноразового применения. Пинцет байонетной формы, рабочая часть прямая, узкий дизайн для лучшего обзора под микроскопом; </w:t>
            </w:r>
            <w:r>
              <w:rPr>
                <w:rFonts w:ascii="Times New Roman" w:hAnsi="Times New Roman"/>
                <w:sz w:val="24"/>
                <w:szCs w:val="24"/>
              </w:rPr>
              <w:t xml:space="preserve">эргономичный дизайн рукоятки с широкими, рифлеными поверхностями для лучшего захвата инструмента и предотвращения скольжения, шириной не менннее 11 мм и не более 11,5 мм для соответсвующей эргономики. Бранши должны быть выполнены из полиамида марки Rilsan </w:t>
            </w:r>
            <w:r>
              <w:rPr>
                <w:rFonts w:ascii="Times New Roman" w:hAnsi="Times New Roman"/>
                <w:sz w:val="24"/>
                <w:szCs w:val="24"/>
              </w:rPr>
              <w:t>PA11 обладающим высокой теплопроводностью для быстрого отвода избытка тепла. Длина бранш (рабочей части) 85 мм. Длина изделия 200 мм. Кончики пинцета должны обладать антипригарным свойством, выполнены из серебро с покрытыем из твердого сплава серебра. Нако</w:t>
            </w:r>
            <w:r>
              <w:rPr>
                <w:rFonts w:ascii="Times New Roman" w:hAnsi="Times New Roman"/>
                <w:sz w:val="24"/>
                <w:szCs w:val="24"/>
              </w:rPr>
              <w:t>нечники должны быть прямой формы, шириной 0,4 мм длиной 6 мм. Ширина рабочей части наконечника должен быть указан на пинцете для быстрой идентификации персоналом. На проксимальном конце расположено кабельное соединение стандартный двухконтактный разъем для</w:t>
            </w:r>
            <w:r>
              <w:rPr>
                <w:rFonts w:ascii="Times New Roman" w:hAnsi="Times New Roman"/>
                <w:sz w:val="24"/>
                <w:szCs w:val="24"/>
              </w:rPr>
              <w:t xml:space="preserve"> обеспечения совместимости с широким спектром генераторов. (имеющимся у заказчика) . Поставляются в индивидуальной стерильной упаковке. В упаковке 1 шт.</w:t>
            </w:r>
          </w:p>
        </w:tc>
        <w:tc>
          <w:tcPr>
            <w:tcW w:w="112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210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r>
      <w:tr w:rsidR="00797BB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lastRenderedPageBreak/>
              <w:t>15</w:t>
            </w:r>
          </w:p>
        </w:tc>
        <w:tc>
          <w:tcPr>
            <w:tcW w:w="253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Пинцет биполярный прямой</w:t>
            </w:r>
          </w:p>
        </w:tc>
        <w:tc>
          <w:tcPr>
            <w:tcW w:w="331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 xml:space="preserve">Назначение: для биполярной коагуляции. Пинцет стерильный, </w:t>
            </w:r>
            <w:r>
              <w:rPr>
                <w:rFonts w:ascii="Times New Roman" w:hAnsi="Times New Roman"/>
                <w:sz w:val="24"/>
                <w:szCs w:val="24"/>
              </w:rPr>
              <w:t>одноразового применения. Пинцет байонетной формы, рабочая часть прямая, узкий дизайн для лучшего обзора под микроскопом; эргономичный дизайн рукоятки с широкими, рифлеными поверхностями для лучшего захвата инструмента и предотвращения скольжения, шириной н</w:t>
            </w:r>
            <w:r>
              <w:rPr>
                <w:rFonts w:ascii="Times New Roman" w:hAnsi="Times New Roman"/>
                <w:sz w:val="24"/>
                <w:szCs w:val="24"/>
              </w:rPr>
              <w:t>е менннее 11 мм и не более 11,5 мм для соответсвующей эргономики. Бранши должны быть выполнены из полиамида марки Rilsan PA11 обладающим высокой теплопроводностью для быстрого отвода избытка тепла. Длина бранш (рабочей части) 85 мм. Длина изделия 200 мм. К</w:t>
            </w:r>
            <w:r>
              <w:rPr>
                <w:rFonts w:ascii="Times New Roman" w:hAnsi="Times New Roman"/>
                <w:sz w:val="24"/>
                <w:szCs w:val="24"/>
              </w:rPr>
              <w:t>ончики пинцета должны обладать антипригарным свойством, выполнены из серебро с покрытыем из твердого сплава серебра. Диаметр не более 3,8 мм. Наконечники должны быть прямой формы, шириной 1,0 мм длиной 8 мм. Диаметр наконечника должен быть указан на пинцет</w:t>
            </w:r>
            <w:r>
              <w:rPr>
                <w:rFonts w:ascii="Times New Roman" w:hAnsi="Times New Roman"/>
                <w:sz w:val="24"/>
                <w:szCs w:val="24"/>
              </w:rPr>
              <w:t>е для быстрой идентификации персоналом. На проксимальном конце расположено кабельное соединение стандартный двухконтактный разъем для обеспечения совместимости с широким спектром генераторов. (имеющимся у заказчика) . Поставляются в индивидуальной стерильн</w:t>
            </w:r>
            <w:r>
              <w:rPr>
                <w:rFonts w:ascii="Times New Roman" w:hAnsi="Times New Roman"/>
                <w:sz w:val="24"/>
                <w:szCs w:val="24"/>
              </w:rPr>
              <w:t>ой упаковке. В упаковке 1 шт.</w:t>
            </w:r>
          </w:p>
        </w:tc>
        <w:tc>
          <w:tcPr>
            <w:tcW w:w="112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210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r>
      <w:tr w:rsidR="00797BB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lastRenderedPageBreak/>
              <w:t>16</w:t>
            </w:r>
          </w:p>
        </w:tc>
        <w:tc>
          <w:tcPr>
            <w:tcW w:w="253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Пинцет коагуляционный биполярный байонет</w:t>
            </w:r>
          </w:p>
        </w:tc>
        <w:tc>
          <w:tcPr>
            <w:tcW w:w="331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 xml:space="preserve">Назначение: для биполярной коагуляции. Пинцет стерильный, одноразового применения. Байонетная форма, рабочая часть прямая, узкий дизайн для лучшего обзора под </w:t>
            </w:r>
            <w:r>
              <w:rPr>
                <w:rFonts w:ascii="Times New Roman" w:hAnsi="Times New Roman"/>
                <w:sz w:val="24"/>
                <w:szCs w:val="24"/>
              </w:rPr>
              <w:t>микроскопом. Кончики пинцета выполнены из сплава желтого золота с покрытием наконечников из розового золота. Рукоятка должна быть с насечкой для лучшего захвата инструмента и предотвращения скольжения. Должно быть наличие вилки с круглыми штекерами для сое</w:t>
            </w:r>
            <w:r>
              <w:rPr>
                <w:rFonts w:ascii="Times New Roman" w:hAnsi="Times New Roman"/>
                <w:sz w:val="24"/>
                <w:szCs w:val="24"/>
              </w:rPr>
              <w:t>динения с кабелем. Общая длина пинцета не менее 210мм и не более 215мм. Длина рабочей области не менее 110мм и не более 115мм. Ширина наконечников не менее 0.3мм и не более 0.5мм. Наличие маркировки с наименованием и/или фирменным знаком производителя, кат</w:t>
            </w:r>
            <w:r>
              <w:rPr>
                <w:rFonts w:ascii="Times New Roman" w:hAnsi="Times New Roman"/>
                <w:sz w:val="24"/>
                <w:szCs w:val="24"/>
              </w:rPr>
              <w:t>аложным номером. Поставляются в индивидуальной стерильной упаковке. В упаковке не менее 5шт.</w:t>
            </w:r>
          </w:p>
        </w:tc>
        <w:tc>
          <w:tcPr>
            <w:tcW w:w="112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210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r>
      <w:tr w:rsidR="00797BB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lastRenderedPageBreak/>
              <w:t>17</w:t>
            </w:r>
          </w:p>
        </w:tc>
        <w:tc>
          <w:tcPr>
            <w:tcW w:w="253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Пинцет коагуляционный биполярный байонет</w:t>
            </w:r>
          </w:p>
        </w:tc>
        <w:tc>
          <w:tcPr>
            <w:tcW w:w="331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Назначение: для биполярной коагуляции. Пинцет стерильный, одноразового применения. Байонетная форма, рабочая</w:t>
            </w:r>
            <w:r>
              <w:rPr>
                <w:rFonts w:ascii="Times New Roman" w:hAnsi="Times New Roman"/>
                <w:sz w:val="24"/>
                <w:szCs w:val="24"/>
              </w:rPr>
              <w:t xml:space="preserve"> часть прямая, узкий дизайн для лучшего обзора под микроскопом. Кончики пинцета выполнены из сплава желтого золота с покрытием наконечников из розового золота. Рукоятка должна быть с насечкой для лучшего захвата инструмента и предотвращения скольжения. Дол</w:t>
            </w:r>
            <w:r>
              <w:rPr>
                <w:rFonts w:ascii="Times New Roman" w:hAnsi="Times New Roman"/>
                <w:sz w:val="24"/>
                <w:szCs w:val="24"/>
              </w:rPr>
              <w:t>жно быть наличие вилки с круглыми штекерами для соединения с кабелем. Общая длина пинцета не менее 210мм и не более 215мм. Длина рабочей области не менее 110мм и не более 115мм. Ширина наконечников не менее 0.8мм и не более 1.0мм. Наличие маркировки с наим</w:t>
            </w:r>
            <w:r>
              <w:rPr>
                <w:rFonts w:ascii="Times New Roman" w:hAnsi="Times New Roman"/>
                <w:sz w:val="24"/>
                <w:szCs w:val="24"/>
              </w:rPr>
              <w:t>енованием и/или фирменным знаком производителя, каталожным номером. Поставляются в индивидуальной стерильной упаковке. В упаковке не менее 5шт.</w:t>
            </w:r>
          </w:p>
        </w:tc>
        <w:tc>
          <w:tcPr>
            <w:tcW w:w="112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210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r>
      <w:tr w:rsidR="00797BB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lastRenderedPageBreak/>
              <w:t>18</w:t>
            </w:r>
          </w:p>
        </w:tc>
        <w:tc>
          <w:tcPr>
            <w:tcW w:w="253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Система шунтирующая высокоточная Хакима - клапан с плоским дном</w:t>
            </w:r>
          </w:p>
        </w:tc>
        <w:tc>
          <w:tcPr>
            <w:tcW w:w="331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 xml:space="preserve">Система шунтирующая высокоточная </w:t>
            </w:r>
            <w:r>
              <w:rPr>
                <w:rFonts w:ascii="Times New Roman" w:hAnsi="Times New Roman"/>
                <w:sz w:val="24"/>
                <w:szCs w:val="24"/>
              </w:rPr>
              <w:t>для лечения гидроцефалии - клапан с плоским дном. Давление открытия 70 мм H2O, +/- 10 мм H2O. Механизм клапана с рубиновым шариком, рубиновым хомутом и стальной пружиной. Высота профиля клапана не более 7,6 мм. Длина (без коннекторов) не более 40 мм, ширин</w:t>
            </w:r>
            <w:r>
              <w:rPr>
                <w:rFonts w:ascii="Times New Roman" w:hAnsi="Times New Roman"/>
                <w:sz w:val="24"/>
                <w:szCs w:val="24"/>
              </w:rPr>
              <w:t>а не более 12,1 мм. Комплект должен включать адаптер для предварительного заполнения пластиковый. Должен поставляться в стерильной упаковке.</w:t>
            </w:r>
          </w:p>
        </w:tc>
        <w:tc>
          <w:tcPr>
            <w:tcW w:w="112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210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r>
      <w:tr w:rsidR="00797BB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lastRenderedPageBreak/>
              <w:t>19</w:t>
            </w:r>
          </w:p>
        </w:tc>
        <w:tc>
          <w:tcPr>
            <w:tcW w:w="253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Средство кровоостанавливающее из микрофибриллярного коллагена Avitene</w:t>
            </w:r>
          </w:p>
        </w:tc>
        <w:tc>
          <w:tcPr>
            <w:tcW w:w="331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 xml:space="preserve">Средство гемостатическое на </w:t>
            </w:r>
            <w:r>
              <w:rPr>
                <w:rFonts w:ascii="Times New Roman" w:hAnsi="Times New Roman"/>
                <w:sz w:val="24"/>
                <w:szCs w:val="24"/>
              </w:rPr>
              <w:t>основе коллагена. Стерильное рассасывающееся изделие, получаемое из коллагена животного происхождения (например, бычьего или свиного коллагена), разрабатываемое для обеспечения гемостаза за счет активации/агрегации тромбоцитов (которые инициируют постепенн</w:t>
            </w:r>
            <w:r>
              <w:rPr>
                <w:rFonts w:ascii="Times New Roman" w:hAnsi="Times New Roman"/>
                <w:sz w:val="24"/>
                <w:szCs w:val="24"/>
              </w:rPr>
              <w:t>ую остановку кровотечения вплоть до образования фибринового сгустка) во время проведения хирургической операции. Изделие наносится непосредственно на рану, где и остается до полного его рассасывания организмом; оно не предназначено специально для конкретны</w:t>
            </w:r>
            <w:r>
              <w:rPr>
                <w:rFonts w:ascii="Times New Roman" w:hAnsi="Times New Roman"/>
                <w:sz w:val="24"/>
                <w:szCs w:val="24"/>
              </w:rPr>
              <w:t>х частей тела и не содержит антибактериальное вещество. Оно может поставляться в форме волокнистой или мягкой, гибкой прокладки/губки или разрыхленных волокон; может использоваться в сочетании с фибриновым клеем. Это изделие для одноразового использования.</w:t>
            </w:r>
            <w:r>
              <w:rPr>
                <w:rFonts w:ascii="Times New Roman" w:hAnsi="Times New Roman"/>
                <w:sz w:val="24"/>
                <w:szCs w:val="24"/>
              </w:rPr>
              <w:t xml:space="preserve"> Средство гемостатическое, рассасывающееся, не увеличивающееся в объемах. Для применения в соответствии со спецификой и техникой проведения оперативного вмешательства для предотвращения кровопотери, применяется при хирургических процудурах, не создает комп</w:t>
            </w:r>
            <w:r>
              <w:rPr>
                <w:rFonts w:ascii="Times New Roman" w:hAnsi="Times New Roman"/>
                <w:sz w:val="24"/>
                <w:szCs w:val="24"/>
              </w:rPr>
              <w:t>рессию. Вид: рыхлая волокнистая форма. Материал: Микрофибриллярный монокомпонентный на основе бычьего коллагена в виде многослойной волокнистой структуры. Форма: Рыхлая волокнистая, также возможно использование в виде пасты. Фасовка не менее 1 гр. Форма по</w:t>
            </w:r>
            <w:r>
              <w:rPr>
                <w:rFonts w:ascii="Times New Roman" w:hAnsi="Times New Roman"/>
                <w:sz w:val="24"/>
                <w:szCs w:val="24"/>
              </w:rPr>
              <w:t>ставки: Индивидуальная стерильная упаковка Срок стерильности не менее 36 месяцев.</w:t>
            </w:r>
          </w:p>
        </w:tc>
        <w:tc>
          <w:tcPr>
            <w:tcW w:w="112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210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r>
      <w:tr w:rsidR="00797BB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lastRenderedPageBreak/>
              <w:t>20</w:t>
            </w:r>
          </w:p>
        </w:tc>
        <w:tc>
          <w:tcPr>
            <w:tcW w:w="253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Фреза  взрослая (фреза для 5400-10-59 и 5400-10-259)</w:t>
            </w:r>
          </w:p>
        </w:tc>
        <w:tc>
          <w:tcPr>
            <w:tcW w:w="331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Фреза прямая, взрослая, длина рабочей части 16мм, диаметр 1,7 мм.</w:t>
            </w:r>
          </w:p>
        </w:tc>
        <w:tc>
          <w:tcPr>
            <w:tcW w:w="112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210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r>
      <w:tr w:rsidR="00797BB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21</w:t>
            </w:r>
          </w:p>
        </w:tc>
        <w:tc>
          <w:tcPr>
            <w:tcW w:w="253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 xml:space="preserve">Фреза-перфоратор 14 мм </w:t>
            </w:r>
            <w:r>
              <w:rPr>
                <w:rFonts w:ascii="Times New Roman" w:hAnsi="Times New Roman"/>
                <w:sz w:val="24"/>
                <w:szCs w:val="24"/>
              </w:rPr>
              <w:t>для краниотома, одноразовый</w:t>
            </w:r>
          </w:p>
        </w:tc>
        <w:tc>
          <w:tcPr>
            <w:tcW w:w="331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Одноразовый перфоратор для краниотомии состоит из трех основных частей: рабочей части, предназначенной для проделывания фрезевых отверстий, ссцепляющего механизма, предвращающего попадание перфоратора в полость черепа и травмиро</w:t>
            </w:r>
            <w:r>
              <w:rPr>
                <w:rFonts w:ascii="Times New Roman" w:hAnsi="Times New Roman"/>
                <w:sz w:val="24"/>
                <w:szCs w:val="24"/>
              </w:rPr>
              <w:t>вание мягких тканей, индикатора стерилизации и замка типа "Хадсон". диаметр 14мм, продается в серильной одноразовой упаковке.</w:t>
            </w:r>
          </w:p>
        </w:tc>
        <w:tc>
          <w:tcPr>
            <w:tcW w:w="112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210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r>
      <w:tr w:rsidR="00797BB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lastRenderedPageBreak/>
              <w:t>22</w:t>
            </w:r>
          </w:p>
        </w:tc>
        <w:tc>
          <w:tcPr>
            <w:tcW w:w="253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Чехлы защитные для операционных микроскопов</w:t>
            </w:r>
          </w:p>
        </w:tc>
        <w:tc>
          <w:tcPr>
            <w:tcW w:w="331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 xml:space="preserve">одноразовый стерильный чехол, размер не менее 132x340см. Материал - </w:t>
            </w:r>
            <w:r>
              <w:rPr>
                <w:rFonts w:ascii="Times New Roman" w:hAnsi="Times New Roman"/>
                <w:sz w:val="24"/>
                <w:szCs w:val="24"/>
              </w:rPr>
              <w:t>легкий прозрачный полиэтилен, не содержащий латекс, асбест и полихлорированных бифенилов. Чехол должен иметь рукава для ассистентских тубусов. Рукава  должны быть  снабжены выступами для окуляров высотой не менее 10см и снабжены перфорацией на расстоянии н</w:t>
            </w:r>
            <w:r>
              <w:rPr>
                <w:rFonts w:ascii="Times New Roman" w:hAnsi="Times New Roman"/>
                <w:sz w:val="24"/>
                <w:szCs w:val="24"/>
              </w:rPr>
              <w:t>е менее 4,5-5см от края. Расстояние фиксирующей ленты от перфорации не менее 4 см. Чехол должен быть оснащен специальной защитной линзой  для объектива микроскопа, расположенной под углом к объективу, для исключения  бликов от источника света, диаметр линз</w:t>
            </w:r>
            <w:r>
              <w:rPr>
                <w:rFonts w:ascii="Times New Roman" w:hAnsi="Times New Roman"/>
                <w:sz w:val="24"/>
                <w:szCs w:val="24"/>
              </w:rPr>
              <w:t>ы – 65 мм, толщина не более 1,5мм .Линза должна быть защищена от царапин легкоснимаемой пленкой, легко выниматься из держателя при помощи крепления типа «салазки».  Линза должна быть откалибрована для использования микроскопа совместно с навигационной сист</w:t>
            </w:r>
            <w:r>
              <w:rPr>
                <w:rFonts w:ascii="Times New Roman" w:hAnsi="Times New Roman"/>
                <w:sz w:val="24"/>
                <w:szCs w:val="24"/>
              </w:rPr>
              <w:t xml:space="preserve">емой. Магнитная фиксация на объективе микроскопа Наличие специальных фиксирующих лент, препятствующих смещению чехла с микроскопа с возможностью неоднократной корректировкой фиксации.  Индивидуальная упаковка должна быть из полимерных пленок и открываться </w:t>
            </w:r>
            <w:r>
              <w:rPr>
                <w:rFonts w:ascii="Times New Roman" w:hAnsi="Times New Roman"/>
                <w:sz w:val="24"/>
                <w:szCs w:val="24"/>
              </w:rPr>
              <w:t>без помощи ножниц.  Должна содержать наглядную инструкцию по использованию чехла. Срок годности 5 лет с момента производства Чехол должен быть адаптирован для использования с микроскопом  KINEVO 900» производства Carl Zeiss Meditec AG (Германия). Предлагае</w:t>
            </w:r>
            <w:r>
              <w:rPr>
                <w:rFonts w:ascii="Times New Roman" w:hAnsi="Times New Roman"/>
                <w:sz w:val="24"/>
                <w:szCs w:val="24"/>
              </w:rPr>
              <w:t xml:space="preserve">мый к поставке чехол должен иметь рекомендацию производителя операционного микроскопа о допустимом использовании совместно с операционным микроскопом без риска возникновения значительной потери навигационной точности. Единица поставки - Картонная упаковка </w:t>
            </w:r>
            <w:r>
              <w:rPr>
                <w:rFonts w:ascii="Times New Roman" w:hAnsi="Times New Roman"/>
                <w:sz w:val="24"/>
                <w:szCs w:val="24"/>
              </w:rPr>
              <w:t>из 5 индивидуально упакованных в стерильные пакеты , штук.</w:t>
            </w:r>
          </w:p>
        </w:tc>
        <w:tc>
          <w:tcPr>
            <w:tcW w:w="112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797BBD" w:rsidRDefault="00C30657">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2100" w:type="dxa"/>
            <w:tcBorders>
              <w:top w:val="single" w:sz="5" w:space="0" w:color="auto"/>
              <w:bottom w:val="single" w:sz="5" w:space="0" w:color="auto"/>
              <w:right w:val="single" w:sz="5" w:space="0" w:color="auto"/>
            </w:tcBorders>
            <w:shd w:val="clear" w:color="auto" w:fill="auto"/>
          </w:tcPr>
          <w:p w:rsidR="00797BBD" w:rsidRDefault="00797BB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797BBD" w:rsidRDefault="00797BBD"/>
        </w:tc>
      </w:tr>
      <w:tr w:rsidR="00797BBD">
        <w:tblPrEx>
          <w:tblCellMar>
            <w:top w:w="0" w:type="dxa"/>
            <w:bottom w:w="0" w:type="dxa"/>
          </w:tblCellMar>
        </w:tblPrEx>
        <w:trPr>
          <w:cantSplit/>
          <w:trHeight w:val="375"/>
        </w:trPr>
        <w:tc>
          <w:tcPr>
            <w:tcW w:w="945" w:type="dxa"/>
            <w:shd w:val="clear" w:color="auto" w:fill="auto"/>
            <w:vAlign w:val="bottom"/>
          </w:tcPr>
          <w:p w:rsidR="00797BBD" w:rsidRDefault="00797BBD"/>
        </w:tc>
        <w:tc>
          <w:tcPr>
            <w:tcW w:w="2535" w:type="dxa"/>
            <w:shd w:val="clear" w:color="auto" w:fill="auto"/>
            <w:vAlign w:val="bottom"/>
          </w:tcPr>
          <w:p w:rsidR="00797BBD" w:rsidRDefault="00797BBD"/>
        </w:tc>
        <w:tc>
          <w:tcPr>
            <w:tcW w:w="3315" w:type="dxa"/>
            <w:shd w:val="clear" w:color="auto" w:fill="auto"/>
            <w:vAlign w:val="bottom"/>
          </w:tcPr>
          <w:p w:rsidR="00797BBD" w:rsidRDefault="00797BBD"/>
        </w:tc>
        <w:tc>
          <w:tcPr>
            <w:tcW w:w="1125" w:type="dxa"/>
            <w:shd w:val="clear" w:color="auto" w:fill="auto"/>
            <w:vAlign w:val="bottom"/>
          </w:tcPr>
          <w:p w:rsidR="00797BBD" w:rsidRDefault="00797BBD"/>
        </w:tc>
        <w:tc>
          <w:tcPr>
            <w:tcW w:w="1275" w:type="dxa"/>
            <w:shd w:val="clear" w:color="auto" w:fill="auto"/>
            <w:vAlign w:val="bottom"/>
          </w:tcPr>
          <w:p w:rsidR="00797BBD" w:rsidRDefault="00797BBD"/>
        </w:tc>
        <w:tc>
          <w:tcPr>
            <w:tcW w:w="1470" w:type="dxa"/>
            <w:shd w:val="clear" w:color="auto" w:fill="auto"/>
            <w:vAlign w:val="bottom"/>
          </w:tcPr>
          <w:p w:rsidR="00797BBD" w:rsidRDefault="00797BBD"/>
        </w:tc>
        <w:tc>
          <w:tcPr>
            <w:tcW w:w="2100" w:type="dxa"/>
            <w:shd w:val="clear" w:color="auto" w:fill="auto"/>
            <w:vAlign w:val="bottom"/>
          </w:tcPr>
          <w:p w:rsidR="00797BBD" w:rsidRDefault="00797BBD"/>
        </w:tc>
        <w:tc>
          <w:tcPr>
            <w:tcW w:w="1995" w:type="dxa"/>
            <w:shd w:val="clear" w:color="auto" w:fill="auto"/>
            <w:vAlign w:val="bottom"/>
          </w:tcPr>
          <w:p w:rsidR="00797BBD" w:rsidRDefault="00797BBD"/>
        </w:tc>
        <w:tc>
          <w:tcPr>
            <w:tcW w:w="1650" w:type="dxa"/>
            <w:shd w:val="clear" w:color="auto" w:fill="auto"/>
            <w:vAlign w:val="bottom"/>
          </w:tcPr>
          <w:p w:rsidR="00797BBD" w:rsidRDefault="00797BBD"/>
        </w:tc>
        <w:tc>
          <w:tcPr>
            <w:tcW w:w="1905" w:type="dxa"/>
            <w:shd w:val="clear" w:color="auto" w:fill="auto"/>
            <w:vAlign w:val="bottom"/>
          </w:tcPr>
          <w:p w:rsidR="00797BBD" w:rsidRDefault="00797BBD"/>
        </w:tc>
      </w:tr>
      <w:tr w:rsidR="00797BBD">
        <w:tblPrEx>
          <w:tblCellMar>
            <w:top w:w="0" w:type="dxa"/>
            <w:bottom w:w="0" w:type="dxa"/>
          </w:tblCellMar>
        </w:tblPrEx>
        <w:trPr>
          <w:cantSplit/>
        </w:trPr>
        <w:tc>
          <w:tcPr>
            <w:tcW w:w="18315" w:type="dxa"/>
            <w:gridSpan w:val="10"/>
            <w:shd w:val="clear" w:color="auto" w:fill="auto"/>
            <w:vAlign w:val="bottom"/>
          </w:tcPr>
          <w:p w:rsidR="00797BBD" w:rsidRDefault="00C30657">
            <w:r>
              <w:rPr>
                <w:rFonts w:ascii="Times New Roman" w:hAnsi="Times New Roman"/>
                <w:sz w:val="28"/>
                <w:szCs w:val="28"/>
              </w:rPr>
              <w:t xml:space="preserve">       Срок поставки: в течение 5-14 календарных дней с момента подписания контракта/получения заявки на поставку..</w:t>
            </w:r>
          </w:p>
        </w:tc>
      </w:tr>
      <w:tr w:rsidR="00797BBD">
        <w:tblPrEx>
          <w:tblCellMar>
            <w:top w:w="0" w:type="dxa"/>
            <w:bottom w:w="0" w:type="dxa"/>
          </w:tblCellMar>
        </w:tblPrEx>
        <w:trPr>
          <w:cantSplit/>
          <w:trHeight w:val="120"/>
        </w:trPr>
        <w:tc>
          <w:tcPr>
            <w:tcW w:w="945" w:type="dxa"/>
            <w:shd w:val="clear" w:color="auto" w:fill="auto"/>
            <w:vAlign w:val="bottom"/>
          </w:tcPr>
          <w:p w:rsidR="00797BBD" w:rsidRDefault="00797BBD"/>
        </w:tc>
        <w:tc>
          <w:tcPr>
            <w:tcW w:w="2535" w:type="dxa"/>
            <w:shd w:val="clear" w:color="auto" w:fill="auto"/>
            <w:vAlign w:val="bottom"/>
          </w:tcPr>
          <w:p w:rsidR="00797BBD" w:rsidRDefault="00797BBD"/>
        </w:tc>
        <w:tc>
          <w:tcPr>
            <w:tcW w:w="3315" w:type="dxa"/>
            <w:shd w:val="clear" w:color="auto" w:fill="auto"/>
            <w:vAlign w:val="bottom"/>
          </w:tcPr>
          <w:p w:rsidR="00797BBD" w:rsidRDefault="00797BBD"/>
        </w:tc>
        <w:tc>
          <w:tcPr>
            <w:tcW w:w="1125" w:type="dxa"/>
            <w:shd w:val="clear" w:color="auto" w:fill="auto"/>
            <w:vAlign w:val="bottom"/>
          </w:tcPr>
          <w:p w:rsidR="00797BBD" w:rsidRDefault="00797BBD"/>
        </w:tc>
        <w:tc>
          <w:tcPr>
            <w:tcW w:w="1275" w:type="dxa"/>
            <w:shd w:val="clear" w:color="auto" w:fill="auto"/>
            <w:vAlign w:val="bottom"/>
          </w:tcPr>
          <w:p w:rsidR="00797BBD" w:rsidRDefault="00797BBD"/>
        </w:tc>
        <w:tc>
          <w:tcPr>
            <w:tcW w:w="1470" w:type="dxa"/>
            <w:shd w:val="clear" w:color="auto" w:fill="auto"/>
            <w:vAlign w:val="bottom"/>
          </w:tcPr>
          <w:p w:rsidR="00797BBD" w:rsidRDefault="00797BBD"/>
        </w:tc>
        <w:tc>
          <w:tcPr>
            <w:tcW w:w="2100" w:type="dxa"/>
            <w:shd w:val="clear" w:color="auto" w:fill="auto"/>
            <w:vAlign w:val="bottom"/>
          </w:tcPr>
          <w:p w:rsidR="00797BBD" w:rsidRDefault="00797BBD"/>
        </w:tc>
        <w:tc>
          <w:tcPr>
            <w:tcW w:w="1995" w:type="dxa"/>
            <w:shd w:val="clear" w:color="auto" w:fill="auto"/>
            <w:vAlign w:val="bottom"/>
          </w:tcPr>
          <w:p w:rsidR="00797BBD" w:rsidRDefault="00797BBD"/>
        </w:tc>
        <w:tc>
          <w:tcPr>
            <w:tcW w:w="1650" w:type="dxa"/>
            <w:shd w:val="clear" w:color="auto" w:fill="auto"/>
            <w:vAlign w:val="bottom"/>
          </w:tcPr>
          <w:p w:rsidR="00797BBD" w:rsidRDefault="00797BBD"/>
        </w:tc>
        <w:tc>
          <w:tcPr>
            <w:tcW w:w="1905" w:type="dxa"/>
            <w:shd w:val="clear" w:color="auto" w:fill="auto"/>
            <w:vAlign w:val="bottom"/>
          </w:tcPr>
          <w:p w:rsidR="00797BBD" w:rsidRDefault="00797BBD"/>
        </w:tc>
      </w:tr>
      <w:tr w:rsidR="00797BBD">
        <w:tblPrEx>
          <w:tblCellMar>
            <w:top w:w="0" w:type="dxa"/>
            <w:bottom w:w="0" w:type="dxa"/>
          </w:tblCellMar>
        </w:tblPrEx>
        <w:trPr>
          <w:cantSplit/>
        </w:trPr>
        <w:tc>
          <w:tcPr>
            <w:tcW w:w="18315" w:type="dxa"/>
            <w:gridSpan w:val="10"/>
            <w:shd w:val="clear" w:color="auto" w:fill="auto"/>
            <w:vAlign w:val="bottom"/>
          </w:tcPr>
          <w:p w:rsidR="00797BBD" w:rsidRDefault="00C30657">
            <w:pPr>
              <w:jc w:val="both"/>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rsidR="00797BBD">
        <w:tblPrEx>
          <w:tblCellMar>
            <w:top w:w="0" w:type="dxa"/>
            <w:bottom w:w="0" w:type="dxa"/>
          </w:tblCellMar>
        </w:tblPrEx>
        <w:trPr>
          <w:cantSplit/>
          <w:trHeight w:val="120"/>
        </w:trPr>
        <w:tc>
          <w:tcPr>
            <w:tcW w:w="945" w:type="dxa"/>
            <w:shd w:val="clear" w:color="auto" w:fill="auto"/>
            <w:vAlign w:val="bottom"/>
          </w:tcPr>
          <w:p w:rsidR="00797BBD" w:rsidRDefault="00797BBD"/>
        </w:tc>
        <w:tc>
          <w:tcPr>
            <w:tcW w:w="2535" w:type="dxa"/>
            <w:shd w:val="clear" w:color="auto" w:fill="auto"/>
            <w:vAlign w:val="bottom"/>
          </w:tcPr>
          <w:p w:rsidR="00797BBD" w:rsidRDefault="00797BBD"/>
        </w:tc>
        <w:tc>
          <w:tcPr>
            <w:tcW w:w="3315" w:type="dxa"/>
            <w:shd w:val="clear" w:color="auto" w:fill="auto"/>
            <w:vAlign w:val="bottom"/>
          </w:tcPr>
          <w:p w:rsidR="00797BBD" w:rsidRDefault="00797BBD"/>
        </w:tc>
        <w:tc>
          <w:tcPr>
            <w:tcW w:w="1125" w:type="dxa"/>
            <w:shd w:val="clear" w:color="auto" w:fill="auto"/>
            <w:vAlign w:val="bottom"/>
          </w:tcPr>
          <w:p w:rsidR="00797BBD" w:rsidRDefault="00797BBD"/>
        </w:tc>
        <w:tc>
          <w:tcPr>
            <w:tcW w:w="1275" w:type="dxa"/>
            <w:shd w:val="clear" w:color="auto" w:fill="auto"/>
            <w:vAlign w:val="bottom"/>
          </w:tcPr>
          <w:p w:rsidR="00797BBD" w:rsidRDefault="00797BBD"/>
        </w:tc>
        <w:tc>
          <w:tcPr>
            <w:tcW w:w="1470" w:type="dxa"/>
            <w:shd w:val="clear" w:color="auto" w:fill="auto"/>
            <w:vAlign w:val="bottom"/>
          </w:tcPr>
          <w:p w:rsidR="00797BBD" w:rsidRDefault="00797BBD"/>
        </w:tc>
        <w:tc>
          <w:tcPr>
            <w:tcW w:w="2100" w:type="dxa"/>
            <w:shd w:val="clear" w:color="auto" w:fill="auto"/>
            <w:vAlign w:val="bottom"/>
          </w:tcPr>
          <w:p w:rsidR="00797BBD" w:rsidRDefault="00797BBD"/>
        </w:tc>
        <w:tc>
          <w:tcPr>
            <w:tcW w:w="1995" w:type="dxa"/>
            <w:shd w:val="clear" w:color="auto" w:fill="auto"/>
            <w:vAlign w:val="bottom"/>
          </w:tcPr>
          <w:p w:rsidR="00797BBD" w:rsidRDefault="00797BBD"/>
        </w:tc>
        <w:tc>
          <w:tcPr>
            <w:tcW w:w="1650" w:type="dxa"/>
            <w:shd w:val="clear" w:color="auto" w:fill="auto"/>
            <w:vAlign w:val="bottom"/>
          </w:tcPr>
          <w:p w:rsidR="00797BBD" w:rsidRDefault="00797BBD"/>
        </w:tc>
        <w:tc>
          <w:tcPr>
            <w:tcW w:w="1905" w:type="dxa"/>
            <w:shd w:val="clear" w:color="auto" w:fill="auto"/>
            <w:vAlign w:val="bottom"/>
          </w:tcPr>
          <w:p w:rsidR="00797BBD" w:rsidRDefault="00797BBD"/>
        </w:tc>
      </w:tr>
      <w:tr w:rsidR="00797BBD">
        <w:tblPrEx>
          <w:tblCellMar>
            <w:top w:w="0" w:type="dxa"/>
            <w:bottom w:w="0" w:type="dxa"/>
          </w:tblCellMar>
        </w:tblPrEx>
        <w:trPr>
          <w:cantSplit/>
        </w:trPr>
        <w:tc>
          <w:tcPr>
            <w:tcW w:w="18315" w:type="dxa"/>
            <w:gridSpan w:val="10"/>
            <w:shd w:val="clear" w:color="auto" w:fill="auto"/>
            <w:vAlign w:val="bottom"/>
          </w:tcPr>
          <w:p w:rsidR="00797BBD" w:rsidRDefault="00C30657">
            <w:pPr>
              <w:jc w:val="both"/>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 226-99-91.</w:t>
            </w:r>
          </w:p>
        </w:tc>
      </w:tr>
      <w:tr w:rsidR="00797BBD">
        <w:tblPrEx>
          <w:tblCellMar>
            <w:top w:w="0" w:type="dxa"/>
            <w:bottom w:w="0" w:type="dxa"/>
          </w:tblCellMar>
        </w:tblPrEx>
        <w:trPr>
          <w:cantSplit/>
          <w:trHeight w:val="165"/>
        </w:trPr>
        <w:tc>
          <w:tcPr>
            <w:tcW w:w="945" w:type="dxa"/>
            <w:shd w:val="clear" w:color="auto" w:fill="auto"/>
            <w:vAlign w:val="bottom"/>
          </w:tcPr>
          <w:p w:rsidR="00797BBD" w:rsidRDefault="00797BBD"/>
        </w:tc>
        <w:tc>
          <w:tcPr>
            <w:tcW w:w="2535" w:type="dxa"/>
            <w:shd w:val="clear" w:color="auto" w:fill="auto"/>
            <w:vAlign w:val="bottom"/>
          </w:tcPr>
          <w:p w:rsidR="00797BBD" w:rsidRDefault="00797BBD"/>
        </w:tc>
        <w:tc>
          <w:tcPr>
            <w:tcW w:w="3315" w:type="dxa"/>
            <w:shd w:val="clear" w:color="auto" w:fill="auto"/>
            <w:vAlign w:val="bottom"/>
          </w:tcPr>
          <w:p w:rsidR="00797BBD" w:rsidRDefault="00797BBD"/>
        </w:tc>
        <w:tc>
          <w:tcPr>
            <w:tcW w:w="1125" w:type="dxa"/>
            <w:shd w:val="clear" w:color="auto" w:fill="auto"/>
            <w:vAlign w:val="bottom"/>
          </w:tcPr>
          <w:p w:rsidR="00797BBD" w:rsidRDefault="00797BBD"/>
        </w:tc>
        <w:tc>
          <w:tcPr>
            <w:tcW w:w="1275" w:type="dxa"/>
            <w:shd w:val="clear" w:color="auto" w:fill="auto"/>
            <w:vAlign w:val="bottom"/>
          </w:tcPr>
          <w:p w:rsidR="00797BBD" w:rsidRDefault="00797BBD"/>
        </w:tc>
        <w:tc>
          <w:tcPr>
            <w:tcW w:w="1470" w:type="dxa"/>
            <w:shd w:val="clear" w:color="auto" w:fill="auto"/>
            <w:vAlign w:val="bottom"/>
          </w:tcPr>
          <w:p w:rsidR="00797BBD" w:rsidRDefault="00797BBD"/>
        </w:tc>
        <w:tc>
          <w:tcPr>
            <w:tcW w:w="2100" w:type="dxa"/>
            <w:shd w:val="clear" w:color="auto" w:fill="auto"/>
            <w:vAlign w:val="bottom"/>
          </w:tcPr>
          <w:p w:rsidR="00797BBD" w:rsidRDefault="00797BBD"/>
        </w:tc>
        <w:tc>
          <w:tcPr>
            <w:tcW w:w="1995" w:type="dxa"/>
            <w:shd w:val="clear" w:color="auto" w:fill="auto"/>
            <w:vAlign w:val="bottom"/>
          </w:tcPr>
          <w:p w:rsidR="00797BBD" w:rsidRDefault="00797BBD"/>
        </w:tc>
        <w:tc>
          <w:tcPr>
            <w:tcW w:w="1650" w:type="dxa"/>
            <w:shd w:val="clear" w:color="auto" w:fill="auto"/>
            <w:vAlign w:val="bottom"/>
          </w:tcPr>
          <w:p w:rsidR="00797BBD" w:rsidRDefault="00797BBD"/>
        </w:tc>
        <w:tc>
          <w:tcPr>
            <w:tcW w:w="1905" w:type="dxa"/>
            <w:shd w:val="clear" w:color="auto" w:fill="auto"/>
            <w:vAlign w:val="bottom"/>
          </w:tcPr>
          <w:p w:rsidR="00797BBD" w:rsidRDefault="00797BBD"/>
        </w:tc>
      </w:tr>
      <w:tr w:rsidR="00797BBD">
        <w:tblPrEx>
          <w:tblCellMar>
            <w:top w:w="0" w:type="dxa"/>
            <w:bottom w:w="0" w:type="dxa"/>
          </w:tblCellMar>
        </w:tblPrEx>
        <w:trPr>
          <w:cantSplit/>
        </w:trPr>
        <w:tc>
          <w:tcPr>
            <w:tcW w:w="18315" w:type="dxa"/>
            <w:gridSpan w:val="10"/>
            <w:shd w:val="clear" w:color="auto" w:fill="auto"/>
            <w:vAlign w:val="bottom"/>
          </w:tcPr>
          <w:p w:rsidR="00797BBD" w:rsidRDefault="00C30657" w:rsidP="00C30657">
            <w:r>
              <w:rPr>
                <w:rFonts w:ascii="Times New Roman" w:hAnsi="Times New Roman"/>
                <w:sz w:val="28"/>
                <w:szCs w:val="28"/>
              </w:rPr>
              <w:t xml:space="preserve">       Предложения принимаются в срок до 15.09</w:t>
            </w:r>
            <w:bookmarkStart w:id="0" w:name="_GoBack"/>
            <w:bookmarkEnd w:id="0"/>
            <w:r>
              <w:rPr>
                <w:rFonts w:ascii="Times New Roman" w:hAnsi="Times New Roman"/>
                <w:sz w:val="28"/>
                <w:szCs w:val="28"/>
              </w:rPr>
              <w:t xml:space="preserve">.2023 17:00:00 по местному времени. </w:t>
            </w:r>
          </w:p>
        </w:tc>
      </w:tr>
      <w:tr w:rsidR="00797BBD">
        <w:tblPrEx>
          <w:tblCellMar>
            <w:top w:w="0" w:type="dxa"/>
            <w:bottom w:w="0" w:type="dxa"/>
          </w:tblCellMar>
        </w:tblPrEx>
        <w:trPr>
          <w:cantSplit/>
        </w:trPr>
        <w:tc>
          <w:tcPr>
            <w:tcW w:w="945" w:type="dxa"/>
            <w:shd w:val="clear" w:color="auto" w:fill="auto"/>
            <w:vAlign w:val="bottom"/>
          </w:tcPr>
          <w:p w:rsidR="00797BBD" w:rsidRDefault="00797BBD"/>
        </w:tc>
        <w:tc>
          <w:tcPr>
            <w:tcW w:w="2535" w:type="dxa"/>
            <w:shd w:val="clear" w:color="auto" w:fill="auto"/>
            <w:vAlign w:val="bottom"/>
          </w:tcPr>
          <w:p w:rsidR="00797BBD" w:rsidRDefault="00797BBD"/>
        </w:tc>
        <w:tc>
          <w:tcPr>
            <w:tcW w:w="3315" w:type="dxa"/>
            <w:shd w:val="clear" w:color="auto" w:fill="auto"/>
            <w:vAlign w:val="bottom"/>
          </w:tcPr>
          <w:p w:rsidR="00797BBD" w:rsidRDefault="00797BBD"/>
        </w:tc>
        <w:tc>
          <w:tcPr>
            <w:tcW w:w="1125" w:type="dxa"/>
            <w:shd w:val="clear" w:color="auto" w:fill="auto"/>
            <w:vAlign w:val="bottom"/>
          </w:tcPr>
          <w:p w:rsidR="00797BBD" w:rsidRDefault="00797BBD"/>
        </w:tc>
        <w:tc>
          <w:tcPr>
            <w:tcW w:w="1275" w:type="dxa"/>
            <w:shd w:val="clear" w:color="auto" w:fill="auto"/>
            <w:vAlign w:val="bottom"/>
          </w:tcPr>
          <w:p w:rsidR="00797BBD" w:rsidRDefault="00797BBD"/>
        </w:tc>
        <w:tc>
          <w:tcPr>
            <w:tcW w:w="1470" w:type="dxa"/>
            <w:shd w:val="clear" w:color="auto" w:fill="auto"/>
            <w:vAlign w:val="bottom"/>
          </w:tcPr>
          <w:p w:rsidR="00797BBD" w:rsidRDefault="00797BBD"/>
        </w:tc>
        <w:tc>
          <w:tcPr>
            <w:tcW w:w="2100" w:type="dxa"/>
            <w:shd w:val="clear" w:color="auto" w:fill="auto"/>
            <w:vAlign w:val="bottom"/>
          </w:tcPr>
          <w:p w:rsidR="00797BBD" w:rsidRDefault="00797BBD"/>
        </w:tc>
        <w:tc>
          <w:tcPr>
            <w:tcW w:w="1995" w:type="dxa"/>
            <w:shd w:val="clear" w:color="auto" w:fill="auto"/>
            <w:vAlign w:val="bottom"/>
          </w:tcPr>
          <w:p w:rsidR="00797BBD" w:rsidRDefault="00797BBD"/>
        </w:tc>
        <w:tc>
          <w:tcPr>
            <w:tcW w:w="1650" w:type="dxa"/>
            <w:shd w:val="clear" w:color="auto" w:fill="auto"/>
            <w:vAlign w:val="bottom"/>
          </w:tcPr>
          <w:p w:rsidR="00797BBD" w:rsidRDefault="00797BBD"/>
        </w:tc>
        <w:tc>
          <w:tcPr>
            <w:tcW w:w="1905" w:type="dxa"/>
            <w:shd w:val="clear" w:color="auto" w:fill="auto"/>
            <w:vAlign w:val="bottom"/>
          </w:tcPr>
          <w:p w:rsidR="00797BBD" w:rsidRDefault="00797BBD"/>
        </w:tc>
      </w:tr>
      <w:tr w:rsidR="00797BBD">
        <w:tblPrEx>
          <w:tblCellMar>
            <w:top w:w="0" w:type="dxa"/>
            <w:bottom w:w="0" w:type="dxa"/>
          </w:tblCellMar>
        </w:tblPrEx>
        <w:trPr>
          <w:cantSplit/>
        </w:trPr>
        <w:tc>
          <w:tcPr>
            <w:tcW w:w="18315" w:type="dxa"/>
            <w:gridSpan w:val="10"/>
            <w:shd w:val="clear" w:color="auto" w:fill="auto"/>
            <w:vAlign w:val="bottom"/>
          </w:tcPr>
          <w:p w:rsidR="00797BBD" w:rsidRDefault="00C30657">
            <w:r>
              <w:rPr>
                <w:rFonts w:ascii="Times New Roman" w:hAnsi="Times New Roman"/>
                <w:sz w:val="28"/>
                <w:szCs w:val="28"/>
              </w:rPr>
              <w:t>Руководитель контрактной службы________________________/Алешечкина Е.А./</w:t>
            </w:r>
          </w:p>
        </w:tc>
      </w:tr>
      <w:tr w:rsidR="00797BBD">
        <w:tblPrEx>
          <w:tblCellMar>
            <w:top w:w="0" w:type="dxa"/>
            <w:bottom w:w="0" w:type="dxa"/>
          </w:tblCellMar>
        </w:tblPrEx>
        <w:trPr>
          <w:cantSplit/>
        </w:trPr>
        <w:tc>
          <w:tcPr>
            <w:tcW w:w="945" w:type="dxa"/>
            <w:shd w:val="clear" w:color="auto" w:fill="auto"/>
            <w:vAlign w:val="bottom"/>
          </w:tcPr>
          <w:p w:rsidR="00797BBD" w:rsidRDefault="00797BBD"/>
        </w:tc>
        <w:tc>
          <w:tcPr>
            <w:tcW w:w="2535" w:type="dxa"/>
            <w:shd w:val="clear" w:color="auto" w:fill="auto"/>
            <w:vAlign w:val="bottom"/>
          </w:tcPr>
          <w:p w:rsidR="00797BBD" w:rsidRDefault="00797BBD"/>
        </w:tc>
        <w:tc>
          <w:tcPr>
            <w:tcW w:w="3315" w:type="dxa"/>
            <w:shd w:val="clear" w:color="auto" w:fill="auto"/>
            <w:vAlign w:val="bottom"/>
          </w:tcPr>
          <w:p w:rsidR="00797BBD" w:rsidRDefault="00797BBD"/>
        </w:tc>
        <w:tc>
          <w:tcPr>
            <w:tcW w:w="1125" w:type="dxa"/>
            <w:shd w:val="clear" w:color="auto" w:fill="auto"/>
            <w:vAlign w:val="bottom"/>
          </w:tcPr>
          <w:p w:rsidR="00797BBD" w:rsidRDefault="00797BBD"/>
        </w:tc>
        <w:tc>
          <w:tcPr>
            <w:tcW w:w="1275" w:type="dxa"/>
            <w:shd w:val="clear" w:color="auto" w:fill="auto"/>
            <w:vAlign w:val="bottom"/>
          </w:tcPr>
          <w:p w:rsidR="00797BBD" w:rsidRDefault="00797BBD"/>
        </w:tc>
        <w:tc>
          <w:tcPr>
            <w:tcW w:w="1470" w:type="dxa"/>
            <w:shd w:val="clear" w:color="auto" w:fill="auto"/>
            <w:vAlign w:val="bottom"/>
          </w:tcPr>
          <w:p w:rsidR="00797BBD" w:rsidRDefault="00797BBD"/>
        </w:tc>
        <w:tc>
          <w:tcPr>
            <w:tcW w:w="2100" w:type="dxa"/>
            <w:shd w:val="clear" w:color="auto" w:fill="auto"/>
            <w:vAlign w:val="bottom"/>
          </w:tcPr>
          <w:p w:rsidR="00797BBD" w:rsidRDefault="00797BBD"/>
        </w:tc>
        <w:tc>
          <w:tcPr>
            <w:tcW w:w="1995" w:type="dxa"/>
            <w:shd w:val="clear" w:color="auto" w:fill="auto"/>
            <w:vAlign w:val="bottom"/>
          </w:tcPr>
          <w:p w:rsidR="00797BBD" w:rsidRDefault="00797BBD"/>
        </w:tc>
        <w:tc>
          <w:tcPr>
            <w:tcW w:w="1650" w:type="dxa"/>
            <w:shd w:val="clear" w:color="auto" w:fill="auto"/>
            <w:vAlign w:val="bottom"/>
          </w:tcPr>
          <w:p w:rsidR="00797BBD" w:rsidRDefault="00797BBD"/>
        </w:tc>
        <w:tc>
          <w:tcPr>
            <w:tcW w:w="1905" w:type="dxa"/>
            <w:shd w:val="clear" w:color="auto" w:fill="auto"/>
            <w:vAlign w:val="bottom"/>
          </w:tcPr>
          <w:p w:rsidR="00797BBD" w:rsidRDefault="00797BBD"/>
        </w:tc>
      </w:tr>
      <w:tr w:rsidR="00797BBD">
        <w:tblPrEx>
          <w:tblCellMar>
            <w:top w:w="0" w:type="dxa"/>
            <w:bottom w:w="0" w:type="dxa"/>
          </w:tblCellMar>
        </w:tblPrEx>
        <w:trPr>
          <w:cantSplit/>
        </w:trPr>
        <w:tc>
          <w:tcPr>
            <w:tcW w:w="945" w:type="dxa"/>
            <w:shd w:val="clear" w:color="auto" w:fill="auto"/>
            <w:vAlign w:val="bottom"/>
          </w:tcPr>
          <w:p w:rsidR="00797BBD" w:rsidRDefault="00797BBD"/>
        </w:tc>
        <w:tc>
          <w:tcPr>
            <w:tcW w:w="2535" w:type="dxa"/>
            <w:shd w:val="clear" w:color="auto" w:fill="auto"/>
            <w:vAlign w:val="bottom"/>
          </w:tcPr>
          <w:p w:rsidR="00797BBD" w:rsidRDefault="00797BBD"/>
        </w:tc>
        <w:tc>
          <w:tcPr>
            <w:tcW w:w="3315" w:type="dxa"/>
            <w:shd w:val="clear" w:color="auto" w:fill="auto"/>
            <w:vAlign w:val="bottom"/>
          </w:tcPr>
          <w:p w:rsidR="00797BBD" w:rsidRDefault="00797BBD"/>
        </w:tc>
        <w:tc>
          <w:tcPr>
            <w:tcW w:w="1125" w:type="dxa"/>
            <w:shd w:val="clear" w:color="auto" w:fill="auto"/>
            <w:vAlign w:val="bottom"/>
          </w:tcPr>
          <w:p w:rsidR="00797BBD" w:rsidRDefault="00797BBD"/>
        </w:tc>
        <w:tc>
          <w:tcPr>
            <w:tcW w:w="1275" w:type="dxa"/>
            <w:shd w:val="clear" w:color="auto" w:fill="auto"/>
            <w:vAlign w:val="bottom"/>
          </w:tcPr>
          <w:p w:rsidR="00797BBD" w:rsidRDefault="00797BBD"/>
        </w:tc>
        <w:tc>
          <w:tcPr>
            <w:tcW w:w="1470" w:type="dxa"/>
            <w:shd w:val="clear" w:color="auto" w:fill="auto"/>
            <w:vAlign w:val="bottom"/>
          </w:tcPr>
          <w:p w:rsidR="00797BBD" w:rsidRDefault="00797BBD"/>
        </w:tc>
        <w:tc>
          <w:tcPr>
            <w:tcW w:w="2100" w:type="dxa"/>
            <w:shd w:val="clear" w:color="auto" w:fill="auto"/>
            <w:vAlign w:val="bottom"/>
          </w:tcPr>
          <w:p w:rsidR="00797BBD" w:rsidRDefault="00797BBD"/>
        </w:tc>
        <w:tc>
          <w:tcPr>
            <w:tcW w:w="1995" w:type="dxa"/>
            <w:shd w:val="clear" w:color="auto" w:fill="auto"/>
            <w:vAlign w:val="bottom"/>
          </w:tcPr>
          <w:p w:rsidR="00797BBD" w:rsidRDefault="00797BBD"/>
        </w:tc>
        <w:tc>
          <w:tcPr>
            <w:tcW w:w="1650" w:type="dxa"/>
            <w:shd w:val="clear" w:color="auto" w:fill="auto"/>
            <w:vAlign w:val="bottom"/>
          </w:tcPr>
          <w:p w:rsidR="00797BBD" w:rsidRDefault="00797BBD"/>
        </w:tc>
        <w:tc>
          <w:tcPr>
            <w:tcW w:w="1905" w:type="dxa"/>
            <w:shd w:val="clear" w:color="auto" w:fill="auto"/>
            <w:vAlign w:val="bottom"/>
          </w:tcPr>
          <w:p w:rsidR="00797BBD" w:rsidRDefault="00797BBD"/>
        </w:tc>
      </w:tr>
      <w:tr w:rsidR="00797BBD">
        <w:tblPrEx>
          <w:tblCellMar>
            <w:top w:w="0" w:type="dxa"/>
            <w:bottom w:w="0" w:type="dxa"/>
          </w:tblCellMar>
        </w:tblPrEx>
        <w:trPr>
          <w:cantSplit/>
        </w:trPr>
        <w:tc>
          <w:tcPr>
            <w:tcW w:w="945" w:type="dxa"/>
            <w:shd w:val="clear" w:color="auto" w:fill="auto"/>
            <w:vAlign w:val="bottom"/>
          </w:tcPr>
          <w:p w:rsidR="00797BBD" w:rsidRDefault="00797BBD"/>
        </w:tc>
        <w:tc>
          <w:tcPr>
            <w:tcW w:w="2535" w:type="dxa"/>
            <w:shd w:val="clear" w:color="auto" w:fill="auto"/>
            <w:vAlign w:val="bottom"/>
          </w:tcPr>
          <w:p w:rsidR="00797BBD" w:rsidRDefault="00797BBD"/>
        </w:tc>
        <w:tc>
          <w:tcPr>
            <w:tcW w:w="3315" w:type="dxa"/>
            <w:shd w:val="clear" w:color="auto" w:fill="auto"/>
            <w:vAlign w:val="bottom"/>
          </w:tcPr>
          <w:p w:rsidR="00797BBD" w:rsidRDefault="00797BBD"/>
        </w:tc>
        <w:tc>
          <w:tcPr>
            <w:tcW w:w="1125" w:type="dxa"/>
            <w:shd w:val="clear" w:color="auto" w:fill="auto"/>
            <w:vAlign w:val="bottom"/>
          </w:tcPr>
          <w:p w:rsidR="00797BBD" w:rsidRDefault="00797BBD"/>
        </w:tc>
        <w:tc>
          <w:tcPr>
            <w:tcW w:w="1275" w:type="dxa"/>
            <w:shd w:val="clear" w:color="auto" w:fill="auto"/>
            <w:vAlign w:val="bottom"/>
          </w:tcPr>
          <w:p w:rsidR="00797BBD" w:rsidRDefault="00797BBD"/>
        </w:tc>
        <w:tc>
          <w:tcPr>
            <w:tcW w:w="1470" w:type="dxa"/>
            <w:shd w:val="clear" w:color="auto" w:fill="auto"/>
            <w:vAlign w:val="bottom"/>
          </w:tcPr>
          <w:p w:rsidR="00797BBD" w:rsidRDefault="00797BBD"/>
        </w:tc>
        <w:tc>
          <w:tcPr>
            <w:tcW w:w="2100" w:type="dxa"/>
            <w:shd w:val="clear" w:color="auto" w:fill="auto"/>
            <w:vAlign w:val="bottom"/>
          </w:tcPr>
          <w:p w:rsidR="00797BBD" w:rsidRDefault="00797BBD"/>
        </w:tc>
        <w:tc>
          <w:tcPr>
            <w:tcW w:w="1995" w:type="dxa"/>
            <w:shd w:val="clear" w:color="auto" w:fill="auto"/>
            <w:vAlign w:val="bottom"/>
          </w:tcPr>
          <w:p w:rsidR="00797BBD" w:rsidRDefault="00797BBD"/>
        </w:tc>
        <w:tc>
          <w:tcPr>
            <w:tcW w:w="1650" w:type="dxa"/>
            <w:shd w:val="clear" w:color="auto" w:fill="auto"/>
            <w:vAlign w:val="bottom"/>
          </w:tcPr>
          <w:p w:rsidR="00797BBD" w:rsidRDefault="00797BBD"/>
        </w:tc>
        <w:tc>
          <w:tcPr>
            <w:tcW w:w="1905" w:type="dxa"/>
            <w:shd w:val="clear" w:color="auto" w:fill="auto"/>
            <w:vAlign w:val="bottom"/>
          </w:tcPr>
          <w:p w:rsidR="00797BBD" w:rsidRDefault="00797BBD"/>
        </w:tc>
      </w:tr>
      <w:tr w:rsidR="00797BBD">
        <w:tblPrEx>
          <w:tblCellMar>
            <w:top w:w="0" w:type="dxa"/>
            <w:bottom w:w="0" w:type="dxa"/>
          </w:tblCellMar>
        </w:tblPrEx>
        <w:trPr>
          <w:cantSplit/>
        </w:trPr>
        <w:tc>
          <w:tcPr>
            <w:tcW w:w="18315" w:type="dxa"/>
            <w:gridSpan w:val="10"/>
            <w:shd w:val="clear" w:color="auto" w:fill="auto"/>
            <w:vAlign w:val="bottom"/>
          </w:tcPr>
          <w:p w:rsidR="00797BBD" w:rsidRDefault="00C30657">
            <w:r>
              <w:rPr>
                <w:rFonts w:ascii="Times New Roman" w:hAnsi="Times New Roman"/>
                <w:sz w:val="28"/>
                <w:szCs w:val="28"/>
              </w:rPr>
              <w:t>Исполнитель:</w:t>
            </w:r>
          </w:p>
        </w:tc>
      </w:tr>
      <w:tr w:rsidR="00797BBD">
        <w:tblPrEx>
          <w:tblCellMar>
            <w:top w:w="0" w:type="dxa"/>
            <w:bottom w:w="0" w:type="dxa"/>
          </w:tblCellMar>
        </w:tblPrEx>
        <w:trPr>
          <w:cantSplit/>
        </w:trPr>
        <w:tc>
          <w:tcPr>
            <w:tcW w:w="18315" w:type="dxa"/>
            <w:gridSpan w:val="10"/>
            <w:shd w:val="clear" w:color="auto" w:fill="auto"/>
            <w:vAlign w:val="bottom"/>
          </w:tcPr>
          <w:p w:rsidR="00797BBD" w:rsidRDefault="00C30657">
            <w:r>
              <w:rPr>
                <w:rFonts w:ascii="Times New Roman" w:hAnsi="Times New Roman"/>
                <w:sz w:val="28"/>
                <w:szCs w:val="28"/>
              </w:rPr>
              <w:t>, тел.</w:t>
            </w:r>
          </w:p>
        </w:tc>
      </w:tr>
    </w:tbl>
    <w:p w:rsidR="00000000" w:rsidRDefault="00C30657"/>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797BBD"/>
    <w:rsid w:val="00797BBD"/>
    <w:rsid w:val="00C30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7B1B"/>
  <w15:docId w15:val="{75B64493-5178-4C16-AB30-FB304D60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3162</Words>
  <Characters>18027</Characters>
  <Application>Microsoft Office Word</Application>
  <DocSecurity>0</DocSecurity>
  <Lines>150</Lines>
  <Paragraphs>42</Paragraphs>
  <ScaleCrop>false</ScaleCrop>
  <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Тумар Мария Александровна</cp:lastModifiedBy>
  <cp:revision>2</cp:revision>
  <dcterms:created xsi:type="dcterms:W3CDTF">2023-09-12T02:14:00Z</dcterms:created>
  <dcterms:modified xsi:type="dcterms:W3CDTF">2023-09-12T02:14:00Z</dcterms:modified>
</cp:coreProperties>
</file>