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Look w:val="04A0"/>
      </w:tblPr>
      <w:tblGrid>
        <w:gridCol w:w="563"/>
        <w:gridCol w:w="1486"/>
        <w:gridCol w:w="1939"/>
        <w:gridCol w:w="667"/>
        <w:gridCol w:w="754"/>
        <w:gridCol w:w="403"/>
        <w:gridCol w:w="464"/>
        <w:gridCol w:w="245"/>
        <w:gridCol w:w="567"/>
        <w:gridCol w:w="421"/>
        <w:gridCol w:w="288"/>
        <w:gridCol w:w="884"/>
        <w:gridCol w:w="250"/>
        <w:gridCol w:w="708"/>
        <w:gridCol w:w="14"/>
        <w:gridCol w:w="695"/>
        <w:gridCol w:w="425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RPr="005765D7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5765D7" w:rsidP="005765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872343">
              <w:rPr>
                <w:rFonts w:ascii="Times New Roman" w:hAnsi="Times New Roman"/>
                <w:sz w:val="24"/>
                <w:szCs w:val="24"/>
              </w:rPr>
              <w:t>.09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5A6C17">
              <w:rPr>
                <w:rFonts w:ascii="Times New Roman" w:hAnsi="Times New Roman"/>
                <w:sz w:val="24"/>
                <w:szCs w:val="24"/>
              </w:rPr>
              <w:t>1</w:t>
            </w:r>
            <w:r w:rsidR="00D951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15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917DCF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63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917DCF">
        <w:trPr>
          <w:cantSplit/>
          <w:trHeight w:val="16260"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5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псевдокист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поджелудочной железы</w:t>
            </w:r>
          </w:p>
        </w:tc>
        <w:tc>
          <w:tcPr>
            <w:tcW w:w="3763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917DCF" w:rsidRDefault="0057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системе доставки для одношагового наложения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гастроэнтерологических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соустил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эндосонографическим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контролем – Наличие.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системы доставки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дистальнымкеорамическим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кончиком, покрытым режущей электропроводящей нитью – Наличие. Система доставки должна иметь внутренний и внешний катетеры – Наличие. Внешний катетер должен иметь гидрофильное покрытие – Наличие. Дистальный конец катетер должен иметь эндоскопический маркер – Наличие. Рукоятка системы доставки должна обладать механизмом фиксации к рукоятке ультразвукового эндоскопа – Наличие. Рукоятка должна иметь механизм для обеспечения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контралируемого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четырехэтапного механизма раскрытия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Наличие. Рукоятка должна иметь два фиксатора, которые обеспечивают приостановку процесса раскрытия с возможностью повторной активации раскрытия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Наличие. </w:t>
            </w:r>
            <w:r w:rsidR="00917DCF">
              <w:rPr>
                <w:rFonts w:ascii="Times New Roman" w:hAnsi="Times New Roman" w:cs="Times New Roman"/>
                <w:sz w:val="24"/>
                <w:szCs w:val="24"/>
              </w:rPr>
              <w:t xml:space="preserve">Рукоятка должна обладать стандартным конвектором – Наличие. Система доставки должна быть снабжена каналом – Наличие. </w:t>
            </w:r>
            <w:proofErr w:type="spellStart"/>
            <w:r w:rsidR="00917DCF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="00917DCF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изготовлен из материала с памятью формы, иметь два расширенных фланца, быть покрытым полимерным покрытием по всей длине – Наличие. </w:t>
            </w:r>
            <w:proofErr w:type="spellStart"/>
            <w:r w:rsidR="00917DCF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="00917DCF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</w:t>
            </w:r>
            <w:proofErr w:type="spellStart"/>
            <w:r w:rsidR="00917DCF">
              <w:rPr>
                <w:rFonts w:ascii="Times New Roman" w:hAnsi="Times New Roman" w:cs="Times New Roman"/>
                <w:sz w:val="24"/>
                <w:szCs w:val="24"/>
              </w:rPr>
              <w:t>предзагружен</w:t>
            </w:r>
            <w:proofErr w:type="spellEnd"/>
            <w:r w:rsidR="00917DCF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 доставку – Наличие. Диаметр просвета </w:t>
            </w:r>
            <w:proofErr w:type="spellStart"/>
            <w:r w:rsidR="00917DCF"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  <w:r w:rsidR="00917DCF">
              <w:rPr>
                <w:rFonts w:ascii="Times New Roman" w:hAnsi="Times New Roman" w:cs="Times New Roman"/>
                <w:sz w:val="24"/>
                <w:szCs w:val="24"/>
              </w:rPr>
              <w:t xml:space="preserve">, не менее 15 мм. Диаметр внешнего фланца, не более 24 мм. Длина муфты, не более 10 мм. Диаметр катетера системы доставки, не более 10,8 </w:t>
            </w:r>
            <w:proofErr w:type="spellStart"/>
            <w:r w:rsidR="00917DCF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="00917DCF">
              <w:rPr>
                <w:rFonts w:ascii="Times New Roman" w:hAnsi="Times New Roman" w:cs="Times New Roman"/>
                <w:sz w:val="24"/>
                <w:szCs w:val="24"/>
              </w:rPr>
              <w:t xml:space="preserve"> (3,6 мм). Рабочая длина катетера системы доставки, не менее 1380 мм. Совместимость с</w:t>
            </w:r>
            <w:r w:rsidR="002D4A16">
              <w:rPr>
                <w:rFonts w:ascii="Times New Roman" w:hAnsi="Times New Roman" w:cs="Times New Roman"/>
                <w:sz w:val="24"/>
                <w:szCs w:val="24"/>
              </w:rPr>
              <w:t xml:space="preserve"> проводником диаметром, не более 0,035 дм (0,89 мм). Минимальный рабочий канал эндоскопа, не менее 3,7 мм.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D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D4A16">
            <w:pPr>
              <w:jc w:val="center"/>
            </w:pPr>
            <w:r w:rsidRPr="002D4A16">
              <w:rPr>
                <w:rFonts w:ascii="Times New Roman" w:hAnsi="Times New Roman" w:cs="Times New Roman"/>
                <w:sz w:val="24"/>
                <w:szCs w:val="24"/>
              </w:rPr>
              <w:t xml:space="preserve">Бостон </w:t>
            </w:r>
            <w:proofErr w:type="spellStart"/>
            <w:r w:rsidRPr="002D4A16">
              <w:rPr>
                <w:rFonts w:ascii="Times New Roman" w:hAnsi="Times New Roman" w:cs="Times New Roman"/>
                <w:sz w:val="24"/>
                <w:szCs w:val="24"/>
              </w:rPr>
              <w:t>Сайентифик</w:t>
            </w:r>
            <w:proofErr w:type="spellEnd"/>
            <w:r w:rsidRPr="002D4A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4A16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proofErr w:type="gramStart"/>
            <w:r w:rsidRPr="002D4A16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2D4A16">
              <w:rPr>
                <w:rFonts w:ascii="Times New Roman" w:hAnsi="Times New Roman" w:cs="Times New Roman"/>
                <w:sz w:val="24"/>
                <w:szCs w:val="24"/>
              </w:rPr>
              <w:t>рландия</w:t>
            </w:r>
            <w:proofErr w:type="spellEnd"/>
            <w:r w:rsidRPr="002D4A16">
              <w:rPr>
                <w:rFonts w:ascii="Times New Roman" w:hAnsi="Times New Roman" w:cs="Times New Roman"/>
                <w:sz w:val="24"/>
                <w:szCs w:val="24"/>
              </w:rPr>
              <w:t>, Мексика, Япония</w:t>
            </w:r>
          </w:p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7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BC5C92" w:rsidTr="00917DCF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3763" w:type="dxa"/>
            <w:gridSpan w:val="4"/>
            <w:shd w:val="clear" w:color="auto" w:fill="auto"/>
            <w:vAlign w:val="bottom"/>
          </w:tcPr>
          <w:p w:rsidR="00BC5C92" w:rsidRDefault="00BC5C92"/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567" w:type="dxa"/>
            <w:shd w:val="clear" w:color="auto" w:fill="auto"/>
            <w:vAlign w:val="bottom"/>
          </w:tcPr>
          <w:p w:rsidR="00BC5C92" w:rsidRDefault="00BC5C92"/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708" w:type="dxa"/>
            <w:shd w:val="clear" w:color="auto" w:fill="auto"/>
            <w:vAlign w:val="bottom"/>
          </w:tcPr>
          <w:p w:rsidR="00BC5C92" w:rsidRDefault="00BC5C92"/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425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7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7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7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7"/>
            <w:shd w:val="clear" w:color="auto" w:fill="auto"/>
            <w:vAlign w:val="bottom"/>
          </w:tcPr>
          <w:p w:rsidR="00BC5C92" w:rsidRDefault="00281133" w:rsidP="004C27C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2D4A16">
              <w:rPr>
                <w:rFonts w:ascii="Times New Roman" w:hAnsi="Times New Roman"/>
                <w:sz w:val="28"/>
                <w:szCs w:val="28"/>
              </w:rPr>
              <w:t>11</w:t>
            </w:r>
            <w:r w:rsidR="00872343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7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gridSpan w:val="2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gridSpan w:val="3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gridSpan w:val="2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7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7"/>
            <w:shd w:val="clear" w:color="auto" w:fill="auto"/>
            <w:vAlign w:val="bottom"/>
          </w:tcPr>
          <w:p w:rsidR="00BC5C92" w:rsidRDefault="00E502FC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C92"/>
    <w:rsid w:val="000D255C"/>
    <w:rsid w:val="001033D5"/>
    <w:rsid w:val="0011698D"/>
    <w:rsid w:val="0016728C"/>
    <w:rsid w:val="00213923"/>
    <w:rsid w:val="00281133"/>
    <w:rsid w:val="00281EA2"/>
    <w:rsid w:val="002D4A16"/>
    <w:rsid w:val="002F246B"/>
    <w:rsid w:val="003442C7"/>
    <w:rsid w:val="00464308"/>
    <w:rsid w:val="004C27C3"/>
    <w:rsid w:val="004C7710"/>
    <w:rsid w:val="00563D13"/>
    <w:rsid w:val="005765D7"/>
    <w:rsid w:val="005A6C17"/>
    <w:rsid w:val="005D5259"/>
    <w:rsid w:val="00620927"/>
    <w:rsid w:val="0068696D"/>
    <w:rsid w:val="007372F3"/>
    <w:rsid w:val="00814897"/>
    <w:rsid w:val="00872343"/>
    <w:rsid w:val="00917DCF"/>
    <w:rsid w:val="00A50264"/>
    <w:rsid w:val="00AB5743"/>
    <w:rsid w:val="00B6342D"/>
    <w:rsid w:val="00B70006"/>
    <w:rsid w:val="00BA7C71"/>
    <w:rsid w:val="00BC5C92"/>
    <w:rsid w:val="00BC7E18"/>
    <w:rsid w:val="00BE3AEC"/>
    <w:rsid w:val="00C038B9"/>
    <w:rsid w:val="00C375CC"/>
    <w:rsid w:val="00C425CD"/>
    <w:rsid w:val="00C83E7B"/>
    <w:rsid w:val="00D95108"/>
    <w:rsid w:val="00E502FC"/>
    <w:rsid w:val="00EB73C3"/>
    <w:rsid w:val="00EE3BED"/>
    <w:rsid w:val="00F328FC"/>
    <w:rsid w:val="00F47105"/>
    <w:rsid w:val="00FD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КононоваЕВ</cp:lastModifiedBy>
  <cp:revision>3</cp:revision>
  <dcterms:created xsi:type="dcterms:W3CDTF">2023-09-08T07:08:00Z</dcterms:created>
  <dcterms:modified xsi:type="dcterms:W3CDTF">2023-09-08T07:36:00Z</dcterms:modified>
</cp:coreProperties>
</file>