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3"/>
        <w:gridCol w:w="2235"/>
        <w:gridCol w:w="2449"/>
        <w:gridCol w:w="664"/>
        <w:gridCol w:w="717"/>
        <w:gridCol w:w="955"/>
        <w:gridCol w:w="1862"/>
        <w:gridCol w:w="1554"/>
      </w:tblGrid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 w:rsidRPr="006809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Pr="006809D9" w:rsidRDefault="006809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09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Pr="006809D9" w:rsidRDefault="000D2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Pr="006809D9" w:rsidRDefault="000D2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Pr="006809D9" w:rsidRDefault="000D2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Pr="006809D9" w:rsidRDefault="000D2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Pr="006809D9" w:rsidRDefault="000D28F7">
            <w:pPr>
              <w:rPr>
                <w:szCs w:val="16"/>
                <w:lang w:val="en-US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 w:rsidP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2021 г. №.137-2021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8F7" w:rsidRDefault="0068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кортикальный, самонарезающий, Т6, </w:t>
            </w:r>
            <w:r>
              <w:rPr>
                <w:rFonts w:ascii="Times New Roman" w:hAnsi="Times New Roman"/>
                <w:sz w:val="24"/>
                <w:szCs w:val="24"/>
              </w:rPr>
              <w:t>длина 9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мм. Диаметр тела 1,4 мм, диаметр головки 3,5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шлиц Т6, длина 10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мм. Диаметр тела 1,4 мм, диаметр головки 3,5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кортикальный,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шлиц Т6,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мм. Диаметр тела 1,4 мм, диаметр головки 3,5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замещения костной ткани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блок, размер 12,5мм х 12,5мм х 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Синтетический материал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замещения костной ткани, блок, размер 12,5мм * 12,5мм * 10мм. Материал гранулированный, обладает определенной макроформой, соответствующей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томическим и хирургическим требованиям. Материал полностью искусственного происхождения, тем самым полностью исключает риск передачи инфекций.  Материал на основе β-три-кальций-фосфата. Материал полностью биологически совместимый. Материал максимально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ветствует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 Материал сохраняет свои механические и химичес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свойства в жидкой среде, т.е. не подвергается "растворению". 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костной тканью. Материал не ингибирует процесс костеобразования.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показан для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ещения глубоких и объемных дефектов костной ткани. Материал допускает мануальный метод применения. Материал поставляется готовым к применению, в стерильной упаковке.  Общая пористость материала 70%. Размер пор постоянный. Размер макропор 100 – 500 микрон.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микропор 20 – 40 микрон. Поры в материале связаны 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макро- 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Структурная жесткос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материала равна структурной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жесткости губчатой кости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7.5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Сроки биодеградации 6 – 18 месяцев, в зависимости от объема замещаемого дефекта. Молярное соотношение Кальций \ Фосфор составляет 1,67. Материал поставляется в форме блока размером 12,5мм </w:t>
            </w:r>
            <w:r>
              <w:rPr>
                <w:rFonts w:ascii="Times New Roman" w:hAnsi="Times New Roman"/>
                <w:sz w:val="24"/>
                <w:szCs w:val="24"/>
              </w:rPr>
              <w:t>* 12,5мм * 10мм. Материал допускает предварительное пропитывание биологическими жидкостями.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0,80 х 70 мм, упаковка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0,80 мм. Заточка пирамидальная, длина 70 мм,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черная, М0,3 (9/0), 13 см, колющая игла 5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алифатического полимера полиамида 6\6. Нить окрашенная в контрастный цвет (черный) для улучшения визуализации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М 0,3 (9/0), длиной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иглой прочное,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иглы, а также для наиболее полной герметизации отверстия прокола, что обеспечивается технологией лазерного сверления иглы или иным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методом. Игла из коррозионностойкого высокопрочного сплава имеет увеличенный ресурс проколов за 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поверхности силиконом, что способствует уменьшению трения между иглой и тканями,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иглы.Упругость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на 40%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восходит иглы из обычной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обеспечивается добавлением титана не менее 1,9%  . Игла имеет конструкцию, увеличивающую надежность ее фиксации в иглодержателе за счет насечек в месте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захвата.Игла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колющая 5 мм, 3/8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окружности,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прямолинейность нити после ее извлеч</w:t>
            </w:r>
            <w:r>
              <w:rPr>
                <w:rFonts w:ascii="Times New Roman" w:hAnsi="Times New Roman"/>
                <w:sz w:val="24"/>
                <w:szCs w:val="24"/>
              </w:rPr>
              <w:t>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покрытием, USP 4/0, 90 см, 2 колющих иглы 22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в контрастный цвет для улучшения визуализации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ране,нить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сохраняет 60% прочности на разрыв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VIVO через 2 недели, 50% через 4 недели, 35% через 6 недель, срок полного рассасывания 182-238 дней. Толщина USP 4/0, длина нити не менее 90 см. Соединение нити с атравматической иглой прочное, диаметр иглы в зоне крепления не более 1,15 диаметра иглы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Две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сплава имеет увеличенный ресурс проколов и упругость, не менее чем на 40% превышающие показатели иглы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обычной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, что  обеспечивается добавлением титана не менее 1,9%. Иглы имеет конструкцию, увеличивающую надежность ее фиксации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иглодержателе (насечки лазером в месте захвата иглы иглодержателем или иной способ), колющие 22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 окружности, 2 иглы. Одинарная индивидуальная стерильная упаковка из фольги, обеспечивающая доступ в одно движение к внутреннему вкладышу. Внутренний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кладыш защищает нить и иглу от повреждения (пластик или иной прочный материал), обеспечивает прямолинейность нити после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извлечения, предотвращая возникновения эффекта ""памяти формы"", содержит полную информацию о наименовании изделия, составе и парамет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90 см,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колющих  иглы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ользуемые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ране, нить сохраняет 80% прочности на разрыв IN VIVO через 2 недели, 70% через 4 недели, 60% через 6 недель,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нити.М1,5 (4/0), длина нити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иглой прочное,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лазерного сверления иглы или иным методо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Иглы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обычной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стали, что обеспечивается добавлением титана не менее 1,9%. Иглы имеют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трукцию, увеличивающую надежность ее фиксации в иглодержателе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(насечки лазером в месте захвата иглы иглодержателем или иной способ), колющие 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 окружности, 2 иглы. Одинарная индивидуальная стерильная упаковка из фольги, обеспечивающая доступ в одн</w:t>
            </w:r>
            <w:r>
              <w:rPr>
                <w:rFonts w:ascii="Times New Roman" w:hAnsi="Times New Roman"/>
                <w:sz w:val="24"/>
                <w:szCs w:val="24"/>
              </w:rPr>
              <w:t>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</w:t>
            </w:r>
            <w:r>
              <w:rPr>
                <w:rFonts w:ascii="Times New Roman" w:hAnsi="Times New Roman"/>
                <w:sz w:val="24"/>
                <w:szCs w:val="24"/>
              </w:rPr>
              <w:t>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черная, М0,4 (8/0), 13 см, колющая игла 6,5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алифатического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полимера полиамида 6\6. Используемые материалы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иметь антигенных свойств. Нить окрашенная в контрастный цвет (черный) для улучшения визуализации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М0,4 (8/0), длиной не менее 13 см. Игла из коррозионностойкого высокопрочного спл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 углом  за счет  скругленных углов корпуса. Игла колющая, 3/8 окружности, максимальной глубиной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мм, диаметром 0,006 дюйма, от 6,4 до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длиной. Игла имеет черный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цвет, что препятствует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бликованию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улучшает визуализацию в хирургической ране.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не более 1,15 диаметра иглы в начале зоны крепления, что обеспечивает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</w:t>
            </w:r>
            <w:r>
              <w:rPr>
                <w:rFonts w:ascii="Times New Roman" w:hAnsi="Times New Roman"/>
                <w:sz w:val="24"/>
                <w:szCs w:val="24"/>
              </w:rPr>
              <w:t>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Индивидуальная упаковка позволяет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идентифи</w:t>
            </w:r>
            <w:r>
              <w:rPr>
                <w:rFonts w:ascii="Times New Roman" w:hAnsi="Times New Roman"/>
                <w:sz w:val="24"/>
                <w:szCs w:val="24"/>
              </w:rPr>
              <w:t>кацию и учет методом сканирования. Количество - 12 индивидуальных упаковок в коробке. Коробка должна быть упакована в полиэтилен или другой материал, предохраняющий от проникновения влаги. В коробке должна находиться инструкция на русском языке, выполненна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типографским способом. Срок годности,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установленный производителем, не менее 5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черная, М0,2 (10/0), 13 см, колющая игла 3,8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алифатического полимера полиамида 6\6. Используемые материалы не должны иметь антигенных свойств. Нить окрашенная в контрастный цвет (черный) для улучшения 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уализации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М0,2 (10/0), длиной не менее 13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ткань. Игла имеет констру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 углом  за счет  скругленных углов корпуса. Игла колющая для микрохирургии, 3/8 окружности,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максимальной  глубиной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мм, от 3,6 до 3,9  мм длиной. Соединение нити с атравматичес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(пластик или иной прочный материал),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</w:t>
            </w:r>
            <w:r>
              <w:rPr>
                <w:rFonts w:ascii="Times New Roman" w:hAnsi="Times New Roman"/>
                <w:sz w:val="24"/>
                <w:szCs w:val="24"/>
              </w:rPr>
              <w:t>а содержимым после извлечения из индивидуальной упаковки и размещения на стерильном столе. Индивидуальная упаковка позволяет производить идентификацию и учет методом сканирования. Количество - 12 индивидуальных упаковок в коробке. Коробка должна быть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вана в полиэтилен или другой материал, предохраняющий от проникновения влаги. В коробке должна находиться инструкция на русском языке, выполненная типографским способом. Срок годности,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установленный производителем, не менее 5 лет с даты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1,5 мм, шлиц звездчатый Т4, длина 11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13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винтов 2.0 мм, 7+2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Y-образная, с отверстиями для винтов диаметром 2,0 мм. Должна иметь 7 отверстий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Отверстия предназначены для блокированных и кортикальных винтов, указанных в данном техническом задании. Длина пластины 54 - 56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Т6,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12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блокированный, самонарезающий, шлиц Т6,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винта 2,0 мм, шлиц звездчатый Т6, длина 13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</w:t>
            </w:r>
            <w:r>
              <w:rPr>
                <w:rFonts w:ascii="Times New Roman" w:hAnsi="Times New Roman"/>
                <w:sz w:val="24"/>
                <w:szCs w:val="24"/>
              </w:rPr>
              <w:t>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14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7,5 х 10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хлопчатобумажная крупноячеистая сетка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пропитанная мазевой 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Размер 7,5 см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18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18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20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</w:t>
            </w:r>
            <w:r>
              <w:rPr>
                <w:rFonts w:ascii="Times New Roman" w:hAnsi="Times New Roman"/>
                <w:sz w:val="24"/>
                <w:szCs w:val="24"/>
              </w:rPr>
              <w:t>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компрессионный, длина 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 длиной 22 мм, длина резьбы на теле винта 4 мм.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sz w:val="24"/>
                <w:szCs w:val="24"/>
              </w:rPr>
              <w:t>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</w:t>
            </w:r>
            <w:r>
              <w:rPr>
                <w:rFonts w:ascii="Times New Roman" w:hAnsi="Times New Roman"/>
                <w:sz w:val="24"/>
                <w:szCs w:val="24"/>
              </w:rPr>
              <w:t>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1,0 х 150 мм, двусторонняя заточка, в упаковке10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Заточка пирамидальная двусторонняя, длина 150 мм,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1,25 х 150 мм, в упаковке 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1,25 мм используется для временной фиксации пластины на кости. Заточка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пирамидальная,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1,6 х 150 мм, в упаковке 1 штука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1,6 мм. Заточка пирамидальная, длина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нетканой вискозы 2,5 см х 9,1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катушке. Плотная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фиксация,легко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удаляется, не раздражая даже особо чувствительную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адгезивный слой пластыря не вызывает раздражений. Пористая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структура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влаге беспрепятственно испаряться, не нарушая прочности прилипания. Отличается высокой адгезией к влажной коже. Основа: нетканая вискоза.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безвред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Преимущества пластыря Микропор: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мягкий, пористый и воздухопроницаемый; можно надписывать; хорошо фиксируется в областях с волосяным покровом (брови, усы и др.). При снятии, пластырь не удаляет волосы. Не прилипает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медицинским перчаткам. Бежевый.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пластырь 3Мтм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Microporeтм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см х 9,1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нетканой вискозы 5 см х 9,1 м, бежевый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катушке. Плотная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фиксация,легко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удаляется,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раздражая даже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особо чувствительную кожу.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адгезивный слой пластыря не вызывает раздражений. Пористая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структура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влаге беспрепятственно испаряться, не нарушая прочности прилипания. Отличается высокой адгезией к влажной коже.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нетканая вискоза.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Преимущества пластыря Микропор: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мягкий, пористый и воздухопроницаемый, можно надписывать. Хорошо фиксируется в областях с волосяным покровом (брови, усы и др.) При снятии,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ырь не удаляет волосы. Не прилипает к медицинским перчаткам. Бежевый.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пластырь 3Мтм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Microporeтм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 х 9,1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блокироваться в отверстии пластины за счет резьбы на головке винта. Диаметр винта 2,0 мм, шлиц звездчатый Т6, длина 10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блокированный, самонарезающий, шлиц Т6, длина 11 мм, титановый </w:t>
            </w:r>
            <w:r>
              <w:rPr>
                <w:rFonts w:ascii="Times New Roman" w:hAnsi="Times New Roman"/>
                <w:sz w:val="24"/>
                <w:szCs w:val="24"/>
              </w:rPr>
              <w:t>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Самонарезающий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должен блокироваться в отверстии пластины за счет резьбы на головке винта. Диаметр винта 2,0 мм, шлиц звездчатый Т6, длина 11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 Шаг резьбы на головке 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 винта одинаков. Резьба и на головке и теле винта самонарезающая. Длина резьбовой части на головке 2 мм. Длина резьбы на теле равна 4 мм. Длина винта 18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</w:t>
            </w:r>
            <w:r>
              <w:rPr>
                <w:rFonts w:ascii="Times New Roman" w:hAnsi="Times New Roman"/>
                <w:sz w:val="24"/>
                <w:szCs w:val="24"/>
              </w:rPr>
              <w:t>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Игла из коррозионностойкого высокопрочного сплава, обработана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силиконом, что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сосуда. Одинарная индивидуальная стерильная упаковка. Наружный лист</w:t>
            </w:r>
            <w:r>
              <w:rPr>
                <w:rFonts w:ascii="Times New Roman" w:hAnsi="Times New Roman"/>
                <w:sz w:val="24"/>
                <w:szCs w:val="24"/>
              </w:rPr>
              <w:t>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</w:t>
            </w:r>
            <w:r>
              <w:rPr>
                <w:rFonts w:ascii="Times New Roman" w:hAnsi="Times New Roman"/>
                <w:sz w:val="24"/>
                <w:szCs w:val="24"/>
              </w:rPr>
              <w:t>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1 x 5 см3, размер гранул 1.4 - 2.8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размером макро и микро пор. Материал гранулированный.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полностью искусственного происхождения, тем самым полностью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совместимый. Материал максимально соответствует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химические свойства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жидкой среде,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контуров. Материал может смешиваться с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</w:t>
            </w:r>
            <w:r>
              <w:rPr>
                <w:rFonts w:ascii="Times New Roman" w:hAnsi="Times New Roman"/>
                <w:sz w:val="24"/>
                <w:szCs w:val="24"/>
              </w:rPr>
              <w:t>татом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адгезивными свойствами к кости для предотвращения миграции материала.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допускает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мануальный метод применения. Материал поставл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в материале связаны 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Сроки биодеградации 6 – 18 месяцев, в зависимости от объема замещаемого дефекта. Молярное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68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8F7" w:rsidRDefault="000D2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 w:rsidP="00680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 по заявке Заказчика, но не позднее 20.12.2021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11.02.2021 17:00:00 по местному времени. 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28F7" w:rsidRDefault="000D28F7">
            <w:pPr>
              <w:rPr>
                <w:szCs w:val="16"/>
              </w:rPr>
            </w:pP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28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D28F7" w:rsidRDefault="00680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809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8F7"/>
    <w:rsid w:val="000D28F7"/>
    <w:rsid w:val="006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BE2A-FA11-4529-8E04-E348E151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3964</Words>
  <Characters>22598</Characters>
  <Application>Microsoft Office Word</Application>
  <DocSecurity>0</DocSecurity>
  <Lines>188</Lines>
  <Paragraphs>53</Paragraphs>
  <ScaleCrop>false</ScaleCrop>
  <Company/>
  <LinksUpToDate>false</LinksUpToDate>
  <CharactersWithSpaces>26509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2021-02-09T07:56:00Z</dcterms:created>
  <dcterms:modified xsi:type="dcterms:W3CDTF">2021-02-09T07:58:00Z</dcterms:modified>
</cp:coreProperties>
</file>