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15.08.2022 г. №.1264-2022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амикацин 30 мкг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ампициллин 10 мкг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импрегнированные ампициллином для определения чувствительности микроорганизмов к антибиотикам. Нагрузка диска10 мкг. Диаметр диска 6,35 мм. Маркировка АМР на обеих сторонах диска. Основа диска из высококачественной фильтровальной бумаги. Специальный индикатор направления считывания маркировки. Влагопоглотитель силикагелевой природы изолированный мембраной. Количество дисков в 1 картридже 50. Количество картриджей в 1 упаковке 4.  Совместимость с диспенсерами Bio-Rad. Считывание результатов визуально, с помощью анализаторов Озирис, Адажио.</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гентамицин 10 мкг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левофлоксацин 5 мкг (4 картриджа)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меропенем 10 мкг (4 картриджа)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7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тобрамицин</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импрегнированные тобрамицином для определения чувствительности микроорганизмов к антибиотикам. Нагрузка диска 10 мкг. Диаметр диска 6,35 мм. Маркировка ТМN на обеих сторонах диска. Основа диска из высококачественной фильтровальной бумаги. Специальный индикатор направления считывания маркировки. Влагопоглотитель силикагелевой природы изолированный мембраной. Количество дисков в 1 картридже 50. Количество картриджей в 1 упаковке 4.  Совместимость с диспенсерами Bio-Rad. Считывание результатов визуально, с помощью анализаторов Озирис или Адажио(значение параметра не требует конкретизации)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цефокситин 30 мкг (4 картриджа)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цефотаксим 30 мкг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цефотаксим 5 мкг (4 картриджа)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Диски с антибиотиком ципрофлоксацин 5 мкг</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Для определения чувствительности к антимикробным препаратам диско-диффузным методом, диск стандартизован с нанесением кода наименования АБП и АБ нагрузки (цветной), в картридже к диспенсеру БиоРад. Туб 4 катриджа по 50 дисков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228-99-92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18.08.2022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