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 w:rsidRPr="005C5F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C42" w:rsidRPr="005C5FFA" w:rsidRDefault="005C5FF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5F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5FF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5F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5FF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5F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5F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66C42" w:rsidRPr="005C5FFA" w:rsidRDefault="00366C4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6C42" w:rsidRPr="005C5FFA" w:rsidRDefault="00366C4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6C42" w:rsidRPr="005C5FFA" w:rsidRDefault="00366C4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6C42" w:rsidRPr="005C5FFA" w:rsidRDefault="00366C4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6C42" w:rsidRPr="005C5FFA" w:rsidRDefault="00366C4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6C42" w:rsidRPr="005C5FFA" w:rsidRDefault="00366C4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6C42" w:rsidRPr="005C5FFA" w:rsidRDefault="00366C42">
            <w:pPr>
              <w:rPr>
                <w:lang w:val="en-US"/>
              </w:rPr>
            </w:pPr>
          </w:p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C42" w:rsidRDefault="005C5FFA" w:rsidP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№1207-2023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6C42" w:rsidRDefault="00366C42"/>
        </w:tc>
        <w:tc>
          <w:tcPr>
            <w:tcW w:w="2535" w:type="dxa"/>
            <w:shd w:val="clear" w:color="auto" w:fill="auto"/>
            <w:vAlign w:val="bottom"/>
          </w:tcPr>
          <w:p w:rsidR="00366C42" w:rsidRDefault="00366C42"/>
        </w:tc>
        <w:tc>
          <w:tcPr>
            <w:tcW w:w="3315" w:type="dxa"/>
            <w:shd w:val="clear" w:color="auto" w:fill="auto"/>
            <w:vAlign w:val="bottom"/>
          </w:tcPr>
          <w:p w:rsidR="00366C42" w:rsidRDefault="00366C42"/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6C42" w:rsidRDefault="00366C42"/>
        </w:tc>
        <w:tc>
          <w:tcPr>
            <w:tcW w:w="2535" w:type="dxa"/>
            <w:shd w:val="clear" w:color="auto" w:fill="auto"/>
            <w:vAlign w:val="bottom"/>
          </w:tcPr>
          <w:p w:rsidR="00366C42" w:rsidRDefault="00366C42"/>
        </w:tc>
        <w:tc>
          <w:tcPr>
            <w:tcW w:w="3315" w:type="dxa"/>
            <w:shd w:val="clear" w:color="auto" w:fill="auto"/>
            <w:vAlign w:val="bottom"/>
          </w:tcPr>
          <w:p w:rsidR="00366C42" w:rsidRDefault="00366C42"/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Пробирки с вакуумом для различных исследований плазмы №100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пластиковые (полиэтилентерефталат),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дозированным вакуумом, для различных исследований плазмы. Объем забираемой крови - 6,0 мл, размеры пробирок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13х100 мм, реактив - гепарин лития, цветовая кодировка крышки (международный стандарт ISO 6710, ГОСТ Р ИСО 6710) - "зеленая" (внешний зеленый колпачок высотой не меньше 1,8 см, с вертикальными наружными бороздками для удобства снятия, внутренняя пробка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бутиловой резины, покрытой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обладающей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свойствами). Бумажная этикетка. Упаковка - пенопластовый штатив на 100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термоусадочной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пленке с этикеткой-инструкцией на боку. Знаки СЕ и стерильности на этикетках и упаковке</w:t>
            </w:r>
            <w:r>
              <w:rPr>
                <w:rFonts w:ascii="Times New Roman" w:hAnsi="Times New Roman"/>
                <w:sz w:val="24"/>
                <w:szCs w:val="24"/>
              </w:rPr>
              <w:t>. Стерильность - гамма-излучение. Минимальный остаточный срок годности после поставки товара не менее 80%.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5C5FF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366C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366C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Пробирки с вакуумом для гематологических исследований №100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с заданным уровнем вакуума для взятия точного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биоматериала.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пробирки - пластик (полиэтилентерефталат).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забираемой крови не более 4,0 мл (соответствует линии наполнения на этикетке).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 допустимое отклонение объема забираемого биоматериала не более 10% от номинального объема </w:t>
            </w:r>
            <w:r>
              <w:rPr>
                <w:rFonts w:ascii="Times New Roman" w:hAnsi="Times New Roman"/>
                <w:sz w:val="24"/>
                <w:szCs w:val="24"/>
              </w:rPr>
              <w:t>пробы.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пробирки не более 13х75 мм.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Крышка пробирки состоит из: пластикового колпачка, резиновой пробки и маркировочного кольца.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Пластиковый колпачок фиолетового цвета из полиэтилена, на поверхности которого нанесены противоскользящие выступы для иск</w:t>
            </w:r>
            <w:r>
              <w:rPr>
                <w:rFonts w:ascii="Times New Roman" w:hAnsi="Times New Roman"/>
                <w:sz w:val="24"/>
                <w:szCs w:val="24"/>
              </w:rPr>
              <w:t>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Резиновая пробка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необходима для прокалывания иглой. Пробка сохраняет герметичность и вакуум в пробирке.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</w:t>
            </w:r>
            <w:r>
              <w:rPr>
                <w:rFonts w:ascii="Times New Roman" w:hAnsi="Times New Roman"/>
                <w:sz w:val="24"/>
                <w:szCs w:val="24"/>
              </w:rPr>
              <w:t>кже для разделения потоков проб.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Внешняя и внутренняя часть крышки зафиксированы между собой и составляют единую конструкцию.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самопроизвольное открывание при транспортировке и </w:t>
            </w:r>
            <w:r>
              <w:rPr>
                <w:rFonts w:ascii="Times New Roman" w:hAnsi="Times New Roman"/>
                <w:sz w:val="24"/>
                <w:szCs w:val="24"/>
              </w:rPr>
              <w:t>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внутренних стенках пробирки сухой мелкодисперсный антикоагулянт К2ЭДТА.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пробирки бумажная, с полями для </w:t>
            </w:r>
            <w:r>
              <w:rPr>
                <w:rFonts w:ascii="Times New Roman" w:hAnsi="Times New Roman"/>
                <w:sz w:val="24"/>
                <w:szCs w:val="24"/>
              </w:rPr>
              <w:t>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</w:t>
            </w:r>
            <w:r>
              <w:rPr>
                <w:rFonts w:ascii="Times New Roman" w:hAnsi="Times New Roman"/>
                <w:sz w:val="24"/>
                <w:szCs w:val="24"/>
              </w:rPr>
              <w:t>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‘R’-гамма излучение), символ однократности применения.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Область применения: гематология.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Температурный диапазон хранения вакуумных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 - не менее 50 шт. в пластиковом штативе, запаянном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Этикетка на упаковке на русском языке.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Требуется соответствие продукции ГОСТ ИСО 6710-2011, ГОСТ Р 53079.4-2008, ГОСТ ISO 10993-1-2011, 10993-5-2011, 10993-10-2011, 10993-1</w:t>
            </w:r>
            <w:r>
              <w:rPr>
                <w:rFonts w:ascii="Times New Roman" w:hAnsi="Times New Roman"/>
                <w:sz w:val="24"/>
                <w:szCs w:val="24"/>
              </w:rPr>
              <w:t>1-2011.</w:t>
            </w:r>
          </w:p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Характеристики, не перечисленные в ГОСТ, требуются в соответствии с логистическими и технологическими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5C5FF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5C5F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366C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C42" w:rsidRDefault="00366C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66C42" w:rsidRDefault="00366C42"/>
        </w:tc>
        <w:tc>
          <w:tcPr>
            <w:tcW w:w="2535" w:type="dxa"/>
            <w:shd w:val="clear" w:color="auto" w:fill="auto"/>
            <w:vAlign w:val="bottom"/>
          </w:tcPr>
          <w:p w:rsidR="00366C42" w:rsidRDefault="00366C42"/>
        </w:tc>
        <w:tc>
          <w:tcPr>
            <w:tcW w:w="3315" w:type="dxa"/>
            <w:shd w:val="clear" w:color="auto" w:fill="auto"/>
            <w:vAlign w:val="bottom"/>
          </w:tcPr>
          <w:p w:rsidR="00366C42" w:rsidRDefault="00366C42"/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C42" w:rsidRDefault="005C5FF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66C42" w:rsidRDefault="00366C42"/>
        </w:tc>
        <w:tc>
          <w:tcPr>
            <w:tcW w:w="2535" w:type="dxa"/>
            <w:shd w:val="clear" w:color="auto" w:fill="auto"/>
            <w:vAlign w:val="bottom"/>
          </w:tcPr>
          <w:p w:rsidR="00366C42" w:rsidRDefault="00366C42"/>
        </w:tc>
        <w:tc>
          <w:tcPr>
            <w:tcW w:w="3315" w:type="dxa"/>
            <w:shd w:val="clear" w:color="auto" w:fill="auto"/>
            <w:vAlign w:val="bottom"/>
          </w:tcPr>
          <w:p w:rsidR="00366C42" w:rsidRDefault="00366C42"/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C42" w:rsidRDefault="005C5FF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66C42" w:rsidRDefault="00366C42"/>
        </w:tc>
        <w:tc>
          <w:tcPr>
            <w:tcW w:w="2535" w:type="dxa"/>
            <w:shd w:val="clear" w:color="auto" w:fill="auto"/>
            <w:vAlign w:val="bottom"/>
          </w:tcPr>
          <w:p w:rsidR="00366C42" w:rsidRDefault="00366C42"/>
        </w:tc>
        <w:tc>
          <w:tcPr>
            <w:tcW w:w="3315" w:type="dxa"/>
            <w:shd w:val="clear" w:color="auto" w:fill="auto"/>
            <w:vAlign w:val="bottom"/>
          </w:tcPr>
          <w:p w:rsidR="00366C42" w:rsidRDefault="00366C42"/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C42" w:rsidRDefault="005C5FF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66C42" w:rsidRDefault="00366C42"/>
        </w:tc>
        <w:tc>
          <w:tcPr>
            <w:tcW w:w="2535" w:type="dxa"/>
            <w:shd w:val="clear" w:color="auto" w:fill="auto"/>
            <w:vAlign w:val="bottom"/>
          </w:tcPr>
          <w:p w:rsidR="00366C42" w:rsidRDefault="00366C42"/>
        </w:tc>
        <w:tc>
          <w:tcPr>
            <w:tcW w:w="3315" w:type="dxa"/>
            <w:shd w:val="clear" w:color="auto" w:fill="auto"/>
            <w:vAlign w:val="bottom"/>
          </w:tcPr>
          <w:p w:rsidR="00366C42" w:rsidRDefault="00366C42"/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C42" w:rsidRDefault="005C5FF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09.08.2023 17:00:00 по местному времени. </w:t>
            </w:r>
          </w:p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6C42" w:rsidRDefault="00366C42"/>
        </w:tc>
        <w:tc>
          <w:tcPr>
            <w:tcW w:w="2535" w:type="dxa"/>
            <w:shd w:val="clear" w:color="auto" w:fill="auto"/>
            <w:vAlign w:val="bottom"/>
          </w:tcPr>
          <w:p w:rsidR="00366C42" w:rsidRDefault="00366C42"/>
        </w:tc>
        <w:tc>
          <w:tcPr>
            <w:tcW w:w="3315" w:type="dxa"/>
            <w:shd w:val="clear" w:color="auto" w:fill="auto"/>
            <w:vAlign w:val="bottom"/>
          </w:tcPr>
          <w:p w:rsidR="00366C42" w:rsidRDefault="00366C42"/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C42" w:rsidRDefault="005C5FF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6C42" w:rsidRDefault="00366C42"/>
        </w:tc>
        <w:tc>
          <w:tcPr>
            <w:tcW w:w="2535" w:type="dxa"/>
            <w:shd w:val="clear" w:color="auto" w:fill="auto"/>
            <w:vAlign w:val="bottom"/>
          </w:tcPr>
          <w:p w:rsidR="00366C42" w:rsidRDefault="00366C42"/>
        </w:tc>
        <w:tc>
          <w:tcPr>
            <w:tcW w:w="3315" w:type="dxa"/>
            <w:shd w:val="clear" w:color="auto" w:fill="auto"/>
            <w:vAlign w:val="bottom"/>
          </w:tcPr>
          <w:p w:rsidR="00366C42" w:rsidRDefault="00366C42"/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6C42" w:rsidRDefault="00366C42"/>
        </w:tc>
        <w:tc>
          <w:tcPr>
            <w:tcW w:w="2535" w:type="dxa"/>
            <w:shd w:val="clear" w:color="auto" w:fill="auto"/>
            <w:vAlign w:val="bottom"/>
          </w:tcPr>
          <w:p w:rsidR="00366C42" w:rsidRDefault="00366C42"/>
        </w:tc>
        <w:tc>
          <w:tcPr>
            <w:tcW w:w="3315" w:type="dxa"/>
            <w:shd w:val="clear" w:color="auto" w:fill="auto"/>
            <w:vAlign w:val="bottom"/>
          </w:tcPr>
          <w:p w:rsidR="00366C42" w:rsidRDefault="00366C42"/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6C42" w:rsidRDefault="00366C42"/>
        </w:tc>
        <w:tc>
          <w:tcPr>
            <w:tcW w:w="2535" w:type="dxa"/>
            <w:shd w:val="clear" w:color="auto" w:fill="auto"/>
            <w:vAlign w:val="bottom"/>
          </w:tcPr>
          <w:p w:rsidR="00366C42" w:rsidRDefault="00366C42"/>
        </w:tc>
        <w:tc>
          <w:tcPr>
            <w:tcW w:w="3315" w:type="dxa"/>
            <w:shd w:val="clear" w:color="auto" w:fill="auto"/>
            <w:vAlign w:val="bottom"/>
          </w:tcPr>
          <w:p w:rsidR="00366C42" w:rsidRDefault="00366C42"/>
        </w:tc>
        <w:tc>
          <w:tcPr>
            <w:tcW w:w="1125" w:type="dxa"/>
            <w:shd w:val="clear" w:color="auto" w:fill="auto"/>
            <w:vAlign w:val="bottom"/>
          </w:tcPr>
          <w:p w:rsidR="00366C42" w:rsidRDefault="00366C42"/>
        </w:tc>
        <w:tc>
          <w:tcPr>
            <w:tcW w:w="1275" w:type="dxa"/>
            <w:shd w:val="clear" w:color="auto" w:fill="auto"/>
            <w:vAlign w:val="bottom"/>
          </w:tcPr>
          <w:p w:rsidR="00366C42" w:rsidRDefault="00366C42"/>
        </w:tc>
        <w:tc>
          <w:tcPr>
            <w:tcW w:w="1470" w:type="dxa"/>
            <w:shd w:val="clear" w:color="auto" w:fill="auto"/>
            <w:vAlign w:val="bottom"/>
          </w:tcPr>
          <w:p w:rsidR="00366C42" w:rsidRDefault="00366C42"/>
        </w:tc>
        <w:tc>
          <w:tcPr>
            <w:tcW w:w="2100" w:type="dxa"/>
            <w:shd w:val="clear" w:color="auto" w:fill="auto"/>
            <w:vAlign w:val="bottom"/>
          </w:tcPr>
          <w:p w:rsidR="00366C42" w:rsidRDefault="00366C42"/>
        </w:tc>
        <w:tc>
          <w:tcPr>
            <w:tcW w:w="1995" w:type="dxa"/>
            <w:shd w:val="clear" w:color="auto" w:fill="auto"/>
            <w:vAlign w:val="bottom"/>
          </w:tcPr>
          <w:p w:rsidR="00366C42" w:rsidRDefault="00366C42"/>
        </w:tc>
        <w:tc>
          <w:tcPr>
            <w:tcW w:w="1650" w:type="dxa"/>
            <w:shd w:val="clear" w:color="auto" w:fill="auto"/>
            <w:vAlign w:val="bottom"/>
          </w:tcPr>
          <w:p w:rsidR="00366C42" w:rsidRDefault="00366C42"/>
        </w:tc>
        <w:tc>
          <w:tcPr>
            <w:tcW w:w="1905" w:type="dxa"/>
            <w:shd w:val="clear" w:color="auto" w:fill="auto"/>
            <w:vAlign w:val="bottom"/>
          </w:tcPr>
          <w:p w:rsidR="00366C42" w:rsidRDefault="00366C42"/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C42" w:rsidRDefault="005C5FF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66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C42" w:rsidRDefault="005C5FFA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C5FF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C42"/>
    <w:rsid w:val="00366C42"/>
    <w:rsid w:val="005C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4002"/>
  <w15:docId w15:val="{BC7F3903-55E4-48C9-8B09-0EB4803A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2023-08-04T02:22:00Z</dcterms:created>
  <dcterms:modified xsi:type="dcterms:W3CDTF">2023-08-04T02:23:00Z</dcterms:modified>
</cp:coreProperties>
</file>