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1661"/>
        <w:gridCol w:w="2762"/>
        <w:gridCol w:w="668"/>
        <w:gridCol w:w="755"/>
        <w:gridCol w:w="969"/>
        <w:gridCol w:w="1770"/>
        <w:gridCol w:w="1479"/>
      </w:tblGrid>
      <w:tr w:rsidR="00AA2293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RPr="00EF400E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Pr="00C64D15" w:rsidRDefault="00C64D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64D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C64D1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C64D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C64D1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C64D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4D1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68" w:type="dxa"/>
            <w:shd w:val="clear" w:color="FFFFFF" w:fill="auto"/>
            <w:vAlign w:val="bottom"/>
          </w:tcPr>
          <w:p w:rsidR="00AA2293" w:rsidRPr="00C64D15" w:rsidRDefault="00AA22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Pr="00C64D15" w:rsidRDefault="00AA22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Pr="00C64D15" w:rsidRDefault="00AA22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Pr="00C64D15" w:rsidRDefault="00AA22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Pr="00C64D15" w:rsidRDefault="00AA2293">
            <w:pPr>
              <w:rPr>
                <w:szCs w:val="16"/>
                <w:lang w:val="en-US"/>
              </w:rPr>
            </w:pPr>
          </w:p>
        </w:tc>
      </w:tr>
      <w:tr w:rsidR="00AA2293" w:rsidRPr="00EF400E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Pr="00C64D15" w:rsidRDefault="00C64D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4D15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Pr="00C64D15" w:rsidRDefault="00AA22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Pr="00C64D15" w:rsidRDefault="00AA22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Pr="00C64D15" w:rsidRDefault="00AA22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Pr="00C64D15" w:rsidRDefault="00AA22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Pr="00C64D15" w:rsidRDefault="00AA2293">
            <w:pPr>
              <w:rPr>
                <w:szCs w:val="16"/>
                <w:lang w:val="en-US"/>
              </w:rPr>
            </w:pPr>
          </w:p>
        </w:tc>
      </w:tr>
      <w:tr w:rsidR="00AA2293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Default="00C64D15" w:rsidP="00744B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10.12.2019 г. №.11</w:t>
            </w:r>
            <w:r w:rsidR="00744B48">
              <w:rPr>
                <w:rFonts w:ascii="Times New Roman" w:hAnsi="Times New Roman"/>
                <w:sz w:val="24"/>
                <w:szCs w:val="24"/>
              </w:rPr>
              <w:t>75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5132" w:type="dxa"/>
            <w:gridSpan w:val="3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9294" w:type="dxa"/>
            <w:gridSpan w:val="7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AA2293" w:rsidRDefault="00C64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2293" w:rsidRDefault="00C64D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2293" w:rsidRDefault="00C64D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2293" w:rsidRDefault="00C64D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2293" w:rsidRDefault="00C64D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2293" w:rsidRDefault="00C64D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2293" w:rsidRDefault="00C64D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2293" w:rsidRDefault="00C64D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2293" w:rsidRDefault="00C64D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Лейкопластырь для поверхностных ран, антибактериальный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gram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Лейкопластырь  прямоугольной</w:t>
            </w:r>
            <w:proofErr w:type="gram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формы с закругленными краями  для длительной фиксации катетера. Соответствует ГОСТ Р 53498-2009, 52770-2007, ГОСТ Р ИСО 10993. Состоит из фиксирующей части в виде нетканого материала плотностью не менее 50 г/м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кв.с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закругленными краями для предотвращения отлипания, с дополнительной полоской (средний лепесток шириной не менее 5 мм, расположенный между разрезом) для длительной фиксации катетера с липким слоем на основе синтетических связующих, нанесенным прерывисто для обеспечения повышенной воздухопроницаемости, предотвращения мацерации и аллергических реакций; сорбирующей подушечки, пропитанной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бензилдиметил-миристоиламино-пропиламмония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хлоридом, обеспечивающим антимикробное действие и противовирусный эффект, включая вирус герпеса (разрушает клетки и мицелии грибов), из нетканого  материала, </w:t>
            </w: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плотностью не менее 90 г/м кв., с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атравматичным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слоем из проницаемой сеточки и защитным слоем из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антиадгезионной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бумаги для удобства наложения в перчатках. Сорбционная способность впитывающей подушечки - не менее 600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гр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м.кв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. Предназначен для длительной фиксации катетеров (в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т.ч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. подключичного), канюль, зондов, трубок. Сопротивление отслаиванию липкого слоя - не менее 130 Н/м. Размер: ширина не менее 5,0см и не более 5,2см, длина не менее 6,8см и не более 7,0см. Каждый лейкопластырь стерилен, упакован в герметичный пакет из ламинированной бумаги с эффектом легкого вскрытия.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4800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Лейкопластырь стандартный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Средство перевязочное фиксирующее пластырного типа: пластырь на нетканой основе в виде катушки с липким слоем на основе синтетического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гипоаллергенного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клея для фиксации повязок и медицинских устройств, для чувствительного типа кожи,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гипоаллергенный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. Размер 2х500см (+-10%).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5050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Лейкопластырь стандартный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Средство перевязочное фиксирующее пластырного типа: пластырь на тканевой основе в виде катушки с липким слоем для фиксации повязок и медицинских устройств. Размер 3х500см (+-10%).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2700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Лейкопластырь стандартный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Гипоаллергенный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фиксирующий пластырь на основе искусственного шелка, высокопрочный,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воздухо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- и паропроницаем, удаляется безболезненно и без остатков.  Основа - ацетат целлюлозы. Вес основы: не менее 80г/м2.  Усилие на разрыв не менее 26Н/25мм.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Адгезив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- безвредный для кожи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полиакрилат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. Вес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адгезива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не менее 20 г/м2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основы.Уровень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проницаемости водяного </w:t>
            </w: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пара не менее 500 г / (м2 × 24ч при 37С</w:t>
            </w:r>
            <w:proofErr w:type="gram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).PH</w:t>
            </w:r>
            <w:proofErr w:type="gram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не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мнее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6,5. Размер 2.5x500 см. (± 5%)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1000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Лейкопластырь стандартный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Средство перевязочное фиксирующее пластырного типа: пластырь на нетканой основе в виде катушки с липким слоем на основе синтетического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гипоаллергенного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клея для фиксации повязок и медицинских устройств, для чувствительного типа кожи,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гипоаллергенный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. Размер 5х500см (+-10%).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3000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 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Средство перевязочное лечебно-профилактическое: повязка биологически активная антимикробная стерильная, основа -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атравматичная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сетка с гидрофобным покрытием на основе парафина, антимикробный компонент в сухой форме, активизируется при контакте с раневым отделяемым. Антимикробный компонент должен быть указан в заявке участника. Не содержит йод и серебро для применения у пациентов с непереносимостью данных компонентов. Класс потенциального риска применения не ниже 2б в соответствии с регистрационным удостоверением РЗН. Размер 10x10см (+-10%).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Средство перевязочное лечебно-профилактическое: повязка биологически активная антимикробная стерильная в рулоне, основа -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атравматичная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сетка с гидрофобным покрытием на основе парафина, антимикробный компонент в сухой форме, активизируется при контакте с раневым отделяемым. Антимикробный компонент должен быть указан в заявке участника. Не содержит йод и серебро для применения у пациентов с непереносимостью данных компонентов. Класс потенциального риска применения не ниже 2б в </w:t>
            </w: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соответствии с регистрационным удостоверением РЗН. Размер 15см x1м (+-10%).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Средство перевязочные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Средство перевязочное, стерильное,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неадгезивное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в виде повязки.</w:t>
            </w:r>
            <w:r w:rsidRPr="00EF400E">
              <w:rPr>
                <w:rFonts w:ascii="Times New Roman" w:hAnsi="Times New Roman" w:cs="Times New Roman"/>
                <w:sz w:val="22"/>
              </w:rPr>
              <w:br/>
              <w:t xml:space="preserve">Состав материала – крупноячеистая сетка из синтетического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материала ,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без риска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разволокнения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и размером ячеек шириной не менее 1,5 мм, длиной не более 2,5 мм для оттока экссудата во вторичную салфетку и предотвращения врастания повязки в рану при длительном применении. Плотность материала не менее 80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гр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м.кв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. Повязка должна содержать очищенный мягкий парафин, воду дистиллированную, протеолитический фермент (указать название вещества), защитные прокладки, для удобного наложения на рану в перчатках.  Данное сочетание необходимо для расщепления некротических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тканей  с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минимальным хирургическим вмешательством или без него за счет оптимального сочетания мягкой структуры парафина  и длительного очищающего эффекта, подкреплённого включением ферментов; безболезненной смены повязки для пациента.  Повязка предназначена для лечения гнойных и гнойно-некротических ран, угревых гнойных высыпаний,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абсцесов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>, флегмон.   Размер повязки: ширина не менее 7,3см не более 8,0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см ,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длина не менее 9,8см не более 10,0см. Повязки стерильны в индивидуальных пакетах, обеспечивающих длительную сохранность изделия.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700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на рану, обязательно должна содержать в своём составе 0,1%- 0,2%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полигексаметилен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бигуанида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(ПГМБ) для предотвращения повторного инфицирования </w:t>
            </w: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 xml:space="preserve">раны. Повязка должна применяться, преимущественно, для лечения инфицированных сухих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 xml:space="preserve">ран, 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экссудирующих</w:t>
            </w:r>
            <w:proofErr w:type="spellEnd"/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ран, хронических ран различного генеза, таких как пролежни, трофические и диабетические язвы. Раневая повязка должна обладать антимикробным (антибактериальным) эффектом, а том числе в отношении MRSA, VRE,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C.Albicans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(или иные дрожжеподобные грибы). Повязка не должна содержать таких действующих веществ, как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хлоргексидин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биглюконата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(и его производного -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мирамистина</w:t>
            </w:r>
            <w:proofErr w:type="spellEnd"/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),  ферментов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(в том числе химотрипсина), ионов серебра (в том числе коллоидного серебра), пчелиного воска,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метилурацила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йода во избежание возникновения аллергических реакций и возникновения эффекта сенсибилизации. Повязка должна иметь возможность нахождения на ране до трёх дней. Размер: 7,5см х не менее 7 см, но не более 10 см. Повязка должна быть стерильной и индивидуально упакованной. 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220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Гидрогелевая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повязка с полупроницаемым, препятствующим проникновению микроорганизмов верхним слоем; прозрачная. Предназначена для лечения сухих ран или ран с низкой экссудацией на стадиях грануляции и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эпителизации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. Структура повязки: - полиуретановая фольга, полупроницаемая, прозрачная с напечатанной сеткой; - гидрогель: полимерная матрица на основе полиуретана-полимочевины с содержанием воды примерно 60%; - подложка: односторонняя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силиконизированная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ПЭНП-фольга с маркировкой </w:t>
            </w: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 xml:space="preserve">последовательности снятия. Толщина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гелевой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основы: 1,9-2,3 мм. Масса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гелевой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основы: (кг/м²): 2,16 ± 0,2. Влагопоглощающая способность: - по истечении 1 часа: мин. 0,3 г/г, - по истечении 48 часов: мин. 1,0 г/г. Стерильность: Наличие. Упаковка повязки: Индивидуальная упаковка каждой повязки.  Размер: 10 х 10 см; 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150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Средство перевязочные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Стерильное адгезивное трехкомпонентное гидроколлоидное раневое покрытие на основе полиизобутиленового матрикса с включением трех типов гидроколлоидных частиц: 1) натриевая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карбоксиметилцеллюлоза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2) пектин, 3) желатин для обеспечения трехфазовой динамичной контролируемой абсорбции экссудата и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когезивного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гелеобразования, обеспечивающего влажную среду под покрытием для наилучшего роста грануляций. Три вида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гидроколлоида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образуют гель желтоватого цвета при контакте с влажной раневой поверхностью.  Наружный водонепроницаемый полиуретановый слой для защиты от вирусов, в том числе ВИЧ, гепатита В и бактерий.  Толщина не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менее  2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,2 мм.  Промежуточный слой - полиуретановая пена. Обладает термоизоляционными свойствами, уменьшает боль после наложения, создает условия для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аутолитического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очищения раны; обеспечивает оптимальную температуру от 32,7 до 35,2 0С и уровень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Ph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6,1 ± 0,5 под раневым покрытием. Способность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удержанивать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экссудат  2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,44г/10 см²  в течение 24 часов, 3,33 г/10см² в течение 48 часов, 4,01 г/10 см²- в течение 72 часов, 4,83 г/см² в течение 96 часов, 7,46 г/10 </w:t>
            </w: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 xml:space="preserve">см² в течение 7 дней   Может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прменяться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как первичная повязка, так и в качестве вторичной с другими материалами, требующимися для перевязки ран.  Показания: 1. Пролежни (I-IV степень) 2. Изъязвления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голеней  3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>. Хирургические раны (послеоперационные, посттравматические, ожоги I-II степени). Одна повязка на срок до 7 дней. Выпускается в одноразовом блистере. Размер не менее 10см*10см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265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Средство перевязочные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Стерильное адгезивное трехкомпонентное гидроколлоидное раневое покрытие на основе полиизобутиленового матрикса с включением трех типов гидроколлоидных частиц: 1) натриевая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карбоксиметилцеллюлоза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2) пектин, 3) желатин для обеспечения трехфазовой динамичной контролируемой абсорбции экссудата и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когезивного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гелеобразования, обеспечивающего влажную среду под покрытием для наилучшего роста грануляций. Три вида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гидроколлоида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образуют гель желтоватого цвета при контакте с влажной раневой поверхностью.  Наружный водонепроницаемый пенополиуретановый слой для защиты от вирусов, в том числе ВИЧ, гепатита В и бактерий. Обладает термоизоляционными свойствами,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уменьшает  боль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после наложения, создает   условия для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аутолитического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очищения раны; обеспечивает оптимальную температуру от 32,7 до 35,2 0С и уровень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Ph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6,1 ± 0,5 под раневым покрытием.  Повязка выпускается с клейкой каймой не менее 2 см, повязка размерами 10х13см, не требует дополнительной фиксации. Толщина повязки в центре не менее 2, 2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 xml:space="preserve">мм,  </w:t>
            </w: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толщина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повязки по краям - не более 1,55 мм.  Размер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повязки  -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размер гидроколлоидного слоя. Может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прменяться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как первичная повязка, так и в качестве вторичной с другими материалами, требующимися для перевязки ран.  Показания: Затяжные раны - кожные изъязвления, пролежни (I-IV степень), изъязвления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голене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); Острые раны - поверхностные раны (небольшие ссадины), ожоги второй </w:t>
            </w:r>
            <w:proofErr w:type="spellStart"/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степени,места</w:t>
            </w:r>
            <w:proofErr w:type="spellEnd"/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взятия материалов для пересадки. Одна повязка накладывается на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срок  до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7 дней. Выпускается в стерильном блистере, прозрачном с одной стороны с мерной линейкой в см. (и в дюймах) для подбора по размерам раневого дефекта.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Средство перевязочное лечебно-профилактическое: повязка стерильная биоинертная (не содержит в своем составе лекарственные средства и биологически активные соединения для исключения аллергических реакций и индивидуальной непереносимости) сорбционная, по форме адаптирована для применения в области крестца. На полимерной (пленочной) основе, влагонепроницаемая,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паропроницаемость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не менее 3,3мг/см2/час для профилактики риска мацерации. С сорбционной функциональной подушечкой из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пенополиуретана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для обеспечения вертикальной абсорбции и удержания экссудата, продублирована атравматической сеткой, сорбционная емкость не менее 12 капель/см2. Липкий слой на основе синтетического клея для обеспечения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гипоаллергенности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нанесен в виде сетки для надежной </w:t>
            </w: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фиксации и безболезненного снятия повязки. Класс потенциального риска применения не ниже 2б в соответствии с регистрационным удостоверением РЗН. Размер 22х22см (+-10%).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Самоклеющаяся, впитывающая гидроколлоидная повязка, покрытая полупроницаемым слоем, для предотвращения проникновения бактерий,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гидроколлоиды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преобразовываются в гель и формируют влажную среду раны, которая стимулирует грануляцию и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эпителизацию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; пластичная, легко формируется по контуру тела, удаляется безболезненно. </w:t>
            </w:r>
            <w:r w:rsidRPr="00EF400E">
              <w:rPr>
                <w:rFonts w:ascii="Times New Roman" w:hAnsi="Times New Roman" w:cs="Times New Roman"/>
                <w:sz w:val="22"/>
              </w:rPr>
              <w:br/>
              <w:t xml:space="preserve">Требования к материалу повязки: Основа повязки: Прозрачная, воздухопроницаемая полиуретановая пленка.  Гидроколлоидная матрица: Гидроколлоидная структура, состоящая из синтетического эластомера, минерального масла, клейкого вещества, растительной основы и гидроколлоидные частицы. Материал не содержит компоненты животного происхождения. Функциональные возможности: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Паропроницаемость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(MVTR) (24 ч) – мин. 140 г/кв. м, впитывающая способность (24 ч): мин. 1,4 г/10 кв. см. Величина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pH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>: 4 - 8. Упаковка повязки: Индивидуальная стерильная упаковка каждой повязки, размер примерно 10 х 10 см;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310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Средство перевязочное лечебно-профилактическое: повязка биологически активная антимикробная стерильная, основа - полимерная (синтетическая) атравматическая сетка, размер ячеек 1мм x 1мм (+-10%), поверхность повязки покрыта составом, содержащим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липидоколлоидные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частицы и ионы серебра. Защитное покрытие -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антиадгезионная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бумага или пленка. Класс потенциального риска применения не ниже 2б в соответствии с регистрационным удостоверением РЗН. Размер 15х10см (+-10%).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260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для заживления ран с антисептическим эффектом. Должна быть предназначена для лечения ожогов, трофических язв, пролежней, длительно заживающих/плохо заживающих ран. Повязка должна способствовать регенерационным процессам (в том числе грануляции ткани). В состав повязки обязательно должно входить вещество растительного происхождения (указать название растительного вещества). Во избежание возникновения аллергических реакций пациентов, а также эффекта сенсибилизации в состав повязки не должны входить такие вещества, как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хлоргексидин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биглюконат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повидон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-йод, ионы серебра (в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т.ч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коллоидное серебро),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левомеколь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лидокаин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химотрипсин, производные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гуанидина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и четвертичные аммониевые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содинения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. Упаковка: индивидуальная стерильная поштучно. Размер: от 6 до 10 см х не менее 10см. 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370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Средство перевязочное профилактическое пластырного типа: повязка биоинертная (не содержит в своем составе лекарственные средства и биологически активные соединения для исключения аллергических реакций и индивидуальной непереносимости) стерильная с сорбционной функциональной подушечкой на нетканой основе, продублированной атравматической полимерной сеткой. Липкий </w:t>
            </w: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слой на основе синтетического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гипоаллергенного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клея нанесен вокруг сорбционной функциональной подушечки в виде сетки для надежной фиксации и безболезненного снятия. Размер 7х5 см (+-10%).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14500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Повязка одноразовая, стерильная, </w:t>
            </w:r>
            <w:proofErr w:type="gram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впитывающая,  с</w:t>
            </w:r>
            <w:proofErr w:type="gram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гемостатическим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эффектом. Предназначена для лечения острых и хронических гнойно-некротических процессов кожи и мягких тканей, гнойных ран после вскрытия абсцессов, флегмон, инфицированных ран, при подготовке гнойных ран к пластической операции.</w:t>
            </w: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br/>
              <w:t xml:space="preserve"> Особенно рекомендуется для пациентов при непереносимости антибиотиков и других противомикробных препаратов. </w:t>
            </w: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br/>
              <w:t xml:space="preserve">Состав повязки: нетканый материал, активные центры (нано-частицы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оксигидроксида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алюминия, размером 100нм), импрегнированные частицами коллоидного серебра для подавления роста бактерий внутри повязки), атравматический сетчатый слой.</w:t>
            </w: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br/>
              <w:t xml:space="preserve">Принцип действия - физический (эффект электрокинетической сорбции) без токсического воздействия на рану.                                                                                                                                                    </w:t>
            </w:r>
            <w:proofErr w:type="gram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Повязка  должна</w:t>
            </w:r>
            <w:proofErr w:type="gram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не содержать антибиотиков и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фармпрепаратов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. Размер не менее 10 см х 10 см</w:t>
            </w: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br/>
              <w:t xml:space="preserve">Повязка должна обладать выраженным местным неспецифическим антисептическим действием, хорошо драпироваться, безболезненно и без остатков удаляться, не вызывать сенсибилизацию, должна снижать болевые ощущения, устранять зуд, способствовать устранению неприятного запаха из раны, стимулировать заживление и </w:t>
            </w: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ускорять </w:t>
            </w:r>
            <w:proofErr w:type="spellStart"/>
            <w:proofErr w:type="gram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эпителизацию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Гипоаллергенна</w:t>
            </w:r>
            <w:proofErr w:type="spellEnd"/>
            <w:proofErr w:type="gram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. Должна эффективно действовать на грамположительные и грамотрицательные бактерии (включая резистентные к антибиотикам штаммы), а также на вирусы.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 Лейкопластырь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гипоаллергенный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Средство перевязочное фиксирующее пластырного типа: повязка биоинертная (не содержит в своем составе лекарственные средства и биологически активные соединения для исключения аллергических реакций и индивидуальной непереносимости) на нетканой основе в форме ленты для фиксации повязок и медицинских устройств. Липкий слой на основе синтетического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гипоаллергенного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клея нанесен в виде сетки для надежной фиксации и безболезненного снятия, с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антиадгезионной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бумагой или пленкой. Размер 10х1000</w:t>
            </w:r>
            <w:proofErr w:type="gram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см(</w:t>
            </w:r>
            <w:proofErr w:type="gram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+-10%).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190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 Лейкопластырь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гипоаллергенный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Средство перевязочное фиксирующее пластырного типа: повязка биоинертная (не содержит в своем составе лекарственные средства и биологически активные соединения для исключения аллергических реакций и индивидуальной непереносимости) на нетканой основе в форме ленты для фиксации повязок и медицинских устройств. Липкий слой на основе синтетического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гипоаллергенного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клея нанесен в виде сетки для надежной фиксации и безболезненного снятия, с </w:t>
            </w:r>
            <w:proofErr w:type="spellStart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>антиадгезионной</w:t>
            </w:r>
            <w:proofErr w:type="spellEnd"/>
            <w:r w:rsidRPr="00EF400E">
              <w:rPr>
                <w:rFonts w:ascii="Times New Roman" w:hAnsi="Times New Roman" w:cs="Times New Roman"/>
                <w:color w:val="000000"/>
                <w:sz w:val="22"/>
              </w:rPr>
              <w:t xml:space="preserve"> бумагой или пленкой. Размер 15х1000см (+-10%).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195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Лейкопластырь для поверхностных ран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Самоклеящаяся повязка на рану из мягкого нетканого материала с впитывающей подушечкой,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неприклеивающейся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к ране. Основа повязки: нетканый синтетический материал. Раневая подушка: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абсорбирующая вискоза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покрытая микросеткой из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атравматичного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неприлипающего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к ране материала. Клеевая основа: синтетический клей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на  каучуковой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основе, не содержит канифоли. Покрытие повязки: покрыта силиконовой бумагой. Вес подушечки на метр2 - минимум 114 г. Впитывающая способность подушки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: &gt;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1000 г/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кв.м.масса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на м² . Масса основы на м2 - примерно 78 г, клеящая сила мин. 13 Н/25 мм. Стерильная индивидуальная упаковка каждой повязки. Размер: не менее 10x6 см. Размер впитывающей подушечки не менее 65х25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 xml:space="preserve">мм.  </w:t>
            </w:r>
            <w:proofErr w:type="gramEnd"/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Лейкопластырь для поверхностных ран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Самоклеящаяся повязка на рану из мягкого нетканого материала с впитывающей подушечкой,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неприклеивающейся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к ране. Основа повязки: нетканый синтетический материал. Раневая подушка: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абсорбирующая вискоза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покрытая микросеткой из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атравматичного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неприлипающего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к ране материала. Клеевая основа: синтетический клей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на  каучуковой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основе, не содержит канифоли. Покрытие повязки: покрыта силиконовой бумагой. Вес подушечки на метр2 - минимум 114 г. Впитывающая способность подушки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: &gt;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1000 г/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кв.м.масса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на м² . Масса основы на м2 - примерно 78 г, клеящая сила мин. 13 Н/25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мм.Стерильная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индивидуальная упаковка каждой повязки. Размер: не менее 15x8см. размер впитывающей подушечки не менее 110х38 мм. 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6250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Лейкопластырь для поверхностных ран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Самоклеящаяся повязка на рану из мягкого нетканого материала с впитывающей подушечкой,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неприклеивающейся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к ране. Основа повязки: нетканый синтетический материал. </w:t>
            </w: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 xml:space="preserve">Раневая подушка: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абсорбирующая вискоза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покрытая микросеткой из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атравматичного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неприлипающего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к ране материала. Клеевая основа: синтетический клей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на  каучуковой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основе, не содержит канифоли. Покрытие повязки: покрыта силиконовой бумагой. Вес подушечки на метр2 - минимум 114 г. Впитывающая способность подушки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: &gt;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1000 г/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кв.м.масса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на м² . Масса основы на м2 - примерно 78 г, клеящая сила мин. 13 Н/25 мм. Стерильная индивидуальная упаковка каждой повязки. Размер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повязки :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не менее 25x10 см, размер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впитывающе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подушечки не менее 195 х 55 мм.   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5000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Лейкопластырь для поверхностных ран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Самоклеящаяся повязка на рану из мягкого нетканого материала с впитывающей подушечкой,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неприклеивающейся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к ране. Основа повязки: нетканый синтетический материал. Раневая подушка: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абсорбирующая вискоза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покрытая микросеткой из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атравматичного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неприлипающего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к ране материала. Клеевая основа: синтетический клей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на  каучуковой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основе, не содержит канифоли. Покрытие повязки: покрыта силиконовой бумагой. Вес подушечки на метр2 - минимум 114 г. Впитывающая способность подушки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: &gt;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1000 г/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кв.м.масса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на м² . Масса основы на м2 - примерно 78 г, клеящая сила мин. 13 Н/25 мм.</w:t>
            </w:r>
            <w:r w:rsidRPr="00EF400E">
              <w:rPr>
                <w:rFonts w:ascii="Times New Roman" w:hAnsi="Times New Roman" w:cs="Times New Roman"/>
                <w:sz w:val="22"/>
              </w:rPr>
              <w:br w:type="page"/>
              <w:t xml:space="preserve"> Стерильная индивидуальная упаковка каждой повязки. Размер: не менее 35 х 10 см. размер впитывающей подушечки не менее 295 х 55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 xml:space="preserve">мм.  </w:t>
            </w:r>
            <w:proofErr w:type="gramEnd"/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2500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Стерильная мазевая сетчатая повязка размером не менее 10 х 10 см, пропитанная нейтральной гидрофобной мазью, покрыта с двух </w:t>
            </w: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 xml:space="preserve">сторон защитной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пергаминовой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бумагой. Хорошо драпируется, проницаема для экссудата, не прилипает к ране. Состав: не менее 90% хлопок, пропитка - белый парафин. Упаковка индивидуальная, (сополимер этилена, алюминий, целлюлоза). Может применяться в сочетании с любыми антибиотиками и антисептическими средствами. Применяется для лечения ожогов, трещин, ссадин, радиационных поражений, трофических язв, донорских областей при пересадке кожи. Требуется вторичная повязка с высокой абсорбционной способностью для фиксации повязки и поглощения экссудата. Стерильно. Упаковка: индивидуальная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1050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Повязка раневая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неадгезивная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проницаемая, антибактериальная  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Стерильная мазевая сетчатая повязка размером не менее 10 х 20 см, пропитанная нейтральной гидрофобной мазью, покрыта с двух сторон защитной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пергаминовой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бумагой. Хорошо драпируется, проницаема для экссудата, не прилипает к ране. Состав: не менее 90% хлопок, пропитка - белый парафин. Упаковка индивидуальная, (сополимер этилена, алюминий, целлюлоза). Может применяться в сочетании с любыми антибиотиками и антисептическими средствами. Применяется для лечения ожогов, трещин, ссадин, радиационных поражений, трофических язв, донорских областей при пересадке кожи. Требуется вторичная повязка с высокой абсорбционной способностью для фиксации повязки и поглощения экссудата. Стерильно. Упаковка: индивидуальная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10450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Default="00EF400E" w:rsidP="00EF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Средство перевязочные</w:t>
            </w:r>
          </w:p>
        </w:tc>
        <w:tc>
          <w:tcPr>
            <w:tcW w:w="2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 xml:space="preserve">Средство перевязочное  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представляет  собой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стерильное, мягкое, гибкое, нетканое раневое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покорытие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 xml:space="preserve">серого цвета,  состоящее из двух слоев натрий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карбоксиметилцеллюлозы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плотностью 77 г/см², сшитых между собой и прошитых усиленным волокном.  Повязка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простегена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и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скреплена .При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наружном осмотре  заметны полосы.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Повязка  густо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просторочена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плотными нитями, надежно скрепляющими между собой оба слоя повязки. Если изучить повязку на просвет, то можно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увидеть  тонкие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нити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регенирированной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целлюлозы, проходящие в перпендикулярном направлении. Эти нити придают повязке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дополнительную  прочность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на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разрыв.Серебро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в ионной форме 1,2%, входящее  в состав раневого покрытия обеспечивает  быстрое, эффективное, устойчивое  антимикробное действие. Резервных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запасов  ионов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серебра достаточно  для антимикробной активности  по принципу "когда необходимо". Бактерицидный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эффект  в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отношении широкого спектра  бактерий, включая MRSA   и VRE и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антибиотикоустойчивых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бактерий. Сорбционная способность 0,22-0,26 г/см². Прошивка нитями из регенерированной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целлюлозы  не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позволяет повязке растягиваться , что увеличивает комфорт пациента и не мешает движению, а так же минимизирует "съеживание повязки" при абсорбции раневого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экссудата.Прочность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на разрыв в сухом состоянии  -14,4 N/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cм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, прочность  на разрыв во влажном состоянии - 1,8 N/см.  Данная </w:t>
            </w:r>
            <w:proofErr w:type="gramStart"/>
            <w:r w:rsidRPr="00EF400E">
              <w:rPr>
                <w:rFonts w:ascii="Times New Roman" w:hAnsi="Times New Roman" w:cs="Times New Roman"/>
                <w:sz w:val="22"/>
              </w:rPr>
              <w:t>повязка  способна</w:t>
            </w:r>
            <w:proofErr w:type="gramEnd"/>
            <w:r w:rsidRPr="00EF400E">
              <w:rPr>
                <w:rFonts w:ascii="Times New Roman" w:hAnsi="Times New Roman" w:cs="Times New Roman"/>
                <w:sz w:val="22"/>
              </w:rPr>
              <w:t xml:space="preserve"> впитывать  большое количество  выделяемой из раны жидкости и бактерий и, приобретая гелеобразную структуру, нежно и плотно </w:t>
            </w: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прилегает к поверхности раны,  поддерживает влажную среду и помогает удалить  из раны нежизнеспособные ткани (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аутолитическое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очищение раны). Продукция одноразового использования. Упаковано в индивидуальные стерильные блистеры из ламинированной фольги, </w:t>
            </w:r>
            <w:proofErr w:type="spellStart"/>
            <w:r w:rsidRPr="00EF400E">
              <w:rPr>
                <w:rFonts w:ascii="Times New Roman" w:hAnsi="Times New Roman" w:cs="Times New Roman"/>
                <w:sz w:val="22"/>
              </w:rPr>
              <w:t>соответсвующей</w:t>
            </w:r>
            <w:proofErr w:type="spellEnd"/>
            <w:r w:rsidRPr="00EF400E">
              <w:rPr>
                <w:rFonts w:ascii="Times New Roman" w:hAnsi="Times New Roman" w:cs="Times New Roman"/>
                <w:sz w:val="22"/>
              </w:rPr>
              <w:t xml:space="preserve"> международным стандартам.  Не менее 10х10см. </w:t>
            </w:r>
          </w:p>
        </w:tc>
        <w:tc>
          <w:tcPr>
            <w:tcW w:w="6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lastRenderedPageBreak/>
              <w:t>штука</w:t>
            </w:r>
          </w:p>
        </w:tc>
        <w:tc>
          <w:tcPr>
            <w:tcW w:w="7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F400E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96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00E" w:rsidRPr="00EF400E" w:rsidRDefault="00EF400E" w:rsidP="00EF40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400E" w:rsidRPr="00EF400E" w:rsidRDefault="00EF400E" w:rsidP="00EF40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F400E" w:rsidTr="00EF400E">
        <w:trPr>
          <w:trHeight w:val="375"/>
        </w:trPr>
        <w:tc>
          <w:tcPr>
            <w:tcW w:w="70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2762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AA2293" w:rsidRDefault="00C64D15" w:rsidP="00C64D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2020 год, по заявке заказчика</w:t>
            </w:r>
          </w:p>
        </w:tc>
      </w:tr>
      <w:tr w:rsidR="00EF400E" w:rsidTr="00EF400E">
        <w:trPr>
          <w:trHeight w:val="120"/>
        </w:trPr>
        <w:tc>
          <w:tcPr>
            <w:tcW w:w="70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2762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AA2293" w:rsidRDefault="00C6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EF400E" w:rsidTr="00EF400E">
        <w:trPr>
          <w:trHeight w:val="120"/>
        </w:trPr>
        <w:tc>
          <w:tcPr>
            <w:tcW w:w="70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AA2293" w:rsidRDefault="00C6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EF400E" w:rsidTr="00EF400E">
        <w:trPr>
          <w:trHeight w:val="165"/>
        </w:trPr>
        <w:tc>
          <w:tcPr>
            <w:tcW w:w="70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2762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AA2293" w:rsidRDefault="00C64D15" w:rsidP="00EF40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1</w:t>
            </w:r>
            <w:r w:rsidR="00EF400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.12.2019 17:00:00 по местному времени.</w:t>
            </w:r>
          </w:p>
        </w:tc>
      </w:tr>
      <w:tr w:rsidR="00EF400E" w:rsidTr="00EF400E">
        <w:trPr>
          <w:trHeight w:val="60"/>
        </w:trPr>
        <w:tc>
          <w:tcPr>
            <w:tcW w:w="70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2762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AA2293" w:rsidRDefault="00C64D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EF400E" w:rsidTr="00EF400E">
        <w:trPr>
          <w:trHeight w:val="60"/>
        </w:trPr>
        <w:tc>
          <w:tcPr>
            <w:tcW w:w="70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2762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2762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EF400E" w:rsidTr="00EF400E">
        <w:trPr>
          <w:trHeight w:val="60"/>
        </w:trPr>
        <w:tc>
          <w:tcPr>
            <w:tcW w:w="70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2762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668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770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  <w:tc>
          <w:tcPr>
            <w:tcW w:w="1479" w:type="dxa"/>
            <w:shd w:val="clear" w:color="FFFFFF" w:fill="auto"/>
            <w:vAlign w:val="bottom"/>
          </w:tcPr>
          <w:p w:rsidR="00AA2293" w:rsidRDefault="00AA2293">
            <w:pPr>
              <w:rPr>
                <w:szCs w:val="16"/>
              </w:rPr>
            </w:pPr>
          </w:p>
        </w:tc>
      </w:tr>
      <w:tr w:rsidR="00AA2293" w:rsidTr="00EF400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AA2293" w:rsidRDefault="00C64D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AA2293" w:rsidTr="00EF400E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AA2293" w:rsidRDefault="00C64D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Алешечкина Е.А., тел.220-16-04</w:t>
            </w:r>
          </w:p>
        </w:tc>
      </w:tr>
    </w:tbl>
    <w:p w:rsidR="00371A78" w:rsidRDefault="00371A78"/>
    <w:sectPr w:rsidR="00371A7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93"/>
    <w:rsid w:val="00371A78"/>
    <w:rsid w:val="00744B48"/>
    <w:rsid w:val="00AA2293"/>
    <w:rsid w:val="00C64D15"/>
    <w:rsid w:val="00E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635D9-13FC-4F0B-A40F-A1EE9018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lastModifiedBy>Алёшечкина Екатерина Александровна</cp:lastModifiedBy>
  <cp:revision>3</cp:revision>
  <dcterms:created xsi:type="dcterms:W3CDTF">2019-12-10T11:25:00Z</dcterms:created>
  <dcterms:modified xsi:type="dcterms:W3CDTF">2019-12-10T11:26:00Z</dcterms:modified>
</cp:coreProperties>
</file>