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27.07. 2022 г. №.1164-2022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урологический для удаления камней, нитиноловый. Предназначен для эндоскопического захвата и удаления камней и других инородных тел из мочевыводящих путей, а так же для предотвращения миграции камней из мочеточника в верхние мочевыводящие пути во время литотрипсии. Выполнен в форме спиралевидного конуса. Высокая проникающая способность и возможность обходить инородные тела, благодаря наличию нитевидного кончика и способности захвата, при воздействии оператора, выпрямляться в нить. Кончик атравматичный. Наличие визуальных маркеров и ренгенконтрастного маркера, позволяющих спозиционировать захват относительно инородного тела под визуальным и рентген контролем. Наличие рукоятки для управления захватом. Свободное прохождение захвата по каналу эндоскопа и мочевыводящим путям благодаря покрытию из политэтрафторэтилена. Диаметр захвата 10 мм. Захват предназначен для работы с гибкими уретерореноскопами: внешний диаметр тубуса 3 мм, рабочая длина 115 см. Стерильный. 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урологический для удаления камней, нитиноловый. Предназначен для эндоскопического захвата и удаления камней и других инородных тел из мочевыводящих путей, а так же для предотвращения миграции камней из мочеточника в верхние мочевыводящие пути во время литотрипсии. Выполнен в форме спиралевидного конуса. Высокая проникающая способность и возможность обходить инородные тела, благодаря наличию нитевидного кончика и способности захвата, при воздействии оператора, выпрямляться в нить. Кончик атравматичный. Наличие визуальных маркеров и ренгенконтрастного маркера, позволяющих спозиционировать захват относительно инородного тела под визуальным и рентген контролем. Наличие рукоятки для управления захватом. Свободное прохождение захвата по каналу эндоскопа и мочевыводящим путям благодаря покрытию из политэтрафторэтилена. Диаметр захвата 7 мм. Захват предназначен для работы с гибкими уретерореноскопами: внешний диаметр тубуса 3 мм, рабочая длина 115 см. Стерильный. 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4-х струнная захватывающая корзинка. Без кончика. Диаметр катетера 3 Фр, длина 115 см. Диаметр раскрытия корзники 17 мм. Материал - нитинол.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типа "корзинка" нитиноловый для удаления камней. Предназначен для эндоскопического захвата, манипулирования и удаления камней и других инородных тел из мочевыводящих путей. Состоит из рукоятки, прикрепленной к ней нитевидной рабочей части и непосредственно корзинки. Для обеспечения надежности захвата, литоэкстракции и предотвращения рецидивов должны быть предусмотрены как минимум следующие технические характеристики: возможность работы одновременно с лазерным волокном диаметром до 200nm; двойная ширина захвата, в зависимости от степени выдвижения корзины; наличие дополнительных "ножек" у корзины или аналогичного технического решения, позволяющего увеличить ширину раскрытие корзины до 35%. Материал нитей корзины - сплав никеля и титана, или материал с аналогичными физико-химическими свойствами, обеспечивающий устойчивость корзины к изменению формы. Корзина предназначена для работы со стандартными уретерореноскопами: диаметр части корзины, вводимой в канал уретерореноскопа, не более 1,9F; рабочая длина не менее 120 см. Наличие в комплекте Y-образного адаптера для одновременной работы с лазерным волокном, а так же Т-образного порта для проведения ирригации, в случае отсутствия у уретерореноскопа отдельного канала для ирригации. Внешний диаметр полностью раскрытой корзины не менее 15 мм. Стерильный. 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типа "корзинка" нитиноловый для удаления камней. Предназначен для эндоскопического захвата, манипулирования и удаления камней и других инородных тел из мочевыводящих путей. Состоит из рукоятки, прикрепленной к ней нитевидной рабочей части и непосредственно корзинки. Для обеспечения надежности захвата, литоэкстракции и предотвращения рецидивов должны быть предусмотрены как минимум следующие технические характеристики: количество нитей корзины должно быть не менее 4х; наличие на рукоятке механизма, обеспечивающего вращение корзинки вокруг оси не вынимая из эндоскопа; корзинка должна полностью сохранять функциональность, а именно, полное раскрытие, захват, вращение на 360°, при угле изгиба уретероскопа до 270°; диаметр внешнего тубуса корзины не более 1,3F для обеспечения эффективной ирригации. Материал нитей корзины - сплав никеля и титана, или материал с аналогичными физико-химическими свойствами, обеспечивающий устойчивость корзины к изменению формы. Корзина предназначена для работы со стандартными уретерореноскопами: диаметр части корзины, вводимой в канал уретерореноскопа, не более 1,3F; рабочая длина не более 90 см. Внешний диаметр раскрытой корзины не менее 11 мм. Стерильный. 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типа "корзинка" нитиноловый для удаления камней. Предназначен для эндоскопического захвата, манипулирования и удаления камней и других инородных тел из мочевыводящих путей. Состоит из рукоятки, прикрепленной к ней нитевидной рабочей части и непосредственно корзинки. Нити корзины должны быть круглыми в сечении, а так же должен отсутствовать кончик благодаря тому, что корзина выполнена из единственной нити, или должно быть предусмотрено аналогичное техническое решение обеспечивающее атравматичность. Для обеспечения надежности захвата, литоэкстракции и предотвращения рецидивов количество нитей корзины должно быть не менее 4х. Конструкция рабочего тубуса из полиамида и политетрафторэтилена, или материалов с аналогичными физико-химическими характеристиками, должна позволять работать в сложных анатомических условиях не мешая выдвижению корзины из тубуса. Материал нитей корзины - сплав никеля и титана, или материал с аналогичными физико-химическими свойствами, обеспечивающий устойчивость корзины к изменению формы. Корзина предназначена для работы со стандартными уретерореноскопами: диаметр части корзины, вводимой в канал уретерореноскопа, не более 1,9F; рабочая длина не менее 120 см. Внешний диаметр раскрытой корзины не менее 12 мм. Стерильный. 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Экстрактор «Захват», корзинка Ковш, предназначена для предотвращения миграции фрагментов при литотрипсии, изготовлена из нитиноловой нити, диаметр катетера 3.5 Fr, длина катетера 700 мм, диаметр корзинки 7 мм, в пластиковой оплетке, ручка съемная, пластиковая. Инструмент многоразовый. Не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Экстрактор «Захват» корзинка Торцевая 5-ти лепестковая, изготовлена из нитиноловой нити, предназначена для фронтального захвата камня, когда невозможно за камень провести катетер, диаметр катетера 5.0 Fr, диаметр корзинки 15 мм, длина 700 мм, в пластиковой оплетке, ручка съемная, пластиковая. Инструмент многоразовый. Не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Захват нитиноловый для удаления камней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Экстрактор «Захват» корзинка Хачина 3х12, изготовлена из нитиноловой нити, 3 нити на проксимальной поверхности и 12 нитей на дистальной поверхности корзины,  образующих сетчатую структуру, с кончиком, диаметр катетера 5.0 Fr, длина 700 мм, диаметр корзинки 15 мм, в металлической оплетке, ручка съемная, пластиковая. Инструмент многоразовый. Не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пункционная для нефростомии тип Чиба, сталь,</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Пункционная двухсоставная игла Чиба, рентген-узи контрасная, диаметр 18 G, длина 20 см. Стерильная. Одноразовая.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ЧПНС, J тип, однопетлевой, длина 35 см, металический стилет, коннектор, материал Vortek</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ЧПНС, однопетлевой, длина 35 см, Ch 10, 6 боковых отверстий на петле, расположенных в шахматном порядке, торцевое отверстие, градуировка на катетере по сантиметрам, материал термопластичный рентгенконтрастный полимер Вортек (Vortek),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металлический стилет, переходник для мочеприемника, длина 25 см, материал ПВХ; коннектор Луэр-лок с запирательным механизмом. Стерильный.Одноразовый.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ЧПНС, J тип, однопетлевой, длина 35 см, металический стилет, коннектор, материал Vortek</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ЧПНС, однопетлевой, длина 35 см, Ch 14, 6 боковых отверстий на петле, расположенных в шахматном порядке, торцевое отверстие, градуировка на катетере по сантиметрам, материал термопластичный рентгенконтрастный полимер Вортек (Vortek),имеющий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металлический стилет, переходник для мочеприемника, длина 25 см, материал ПВХ; коннектор Луэр-лок с запирательным механизмом. Стерильный.Одноразовый.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16 двухходовый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Фолея 2-х ходовый 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двухходовый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Фолея 2-х ходовый СН 18.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двухходовый, 100% силикон, имплантация до 90 суток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двухходовый, изготовлен из прозрачного 100% силикона, Должен иметь закрытый дистальный конец и не менее двух боковых отверстий. Дистальный конец катетера должен быть обработан и закруглен для обеспечения атравматичной постановки. Коннектор должен подходить к мочеприемникам любого типа. Тройная стерилизация катетера, длительность использования до 90 дней.Длина катетера 42 см, размер катетера 18 Ch.</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Клипсы лигирующие для хирургического клипсоаппликатора Hem-o-lock ХL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Клипсы очень большого размера (XL) для сосудов и тканей 7-16 мм имеющие цветовой код размера - золотистый. Предназначены для использования с аппликатором очень большого размера (XL). Из нерассасывающегося биоинертного полимера ( пластиковые). Форма клипсы в закрытом состоянии вытянутый овал. Высота закрытой клипсы на более 3,8 мм. длина не более 17,0 мм. Конструкция аппликаторов и клипс обеспечивает надежную фиксацию клипс во время доставки к сосудам и тканям. Конструкция клипсы  дает возможность деклиппирования, с сохранением целостности сосуда или ткани. Наличие зубцов на внутренней поверхности клипсы позволяет «чистить» сосуды и ткани до закрытия ,  а также препятствуют  соскальзыванию с них при закрытом замке. Клипсы легко пальпируются. Не Rö-контрастны, таким образом, не изменяет картины при МРТ, КТ и Rö исследованиях. Упакованы в стерильные катриджи. В 1й упаковке 14 картриджей по 6 клипс (84 клипcы).</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установки нефростомического катетера, двухшаговая техника СН 10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установки нефростомического катетера, размер СН 10. Стерильная индивидуальная упаковка.</w:t>
              <w:br/>
              <w:t>
В составе набора для установки нефростомического катетера имеется: 1)Пункционная игла из нержавеющей стали, двухсоставная, диаметр 1.3 мм=17.5 G, адаптеры Luer-lock, с тремя УЗИ-позитивными метками на конце, глубина пункции 20 см; 2) спиральный стилет-проводник с гибким закруглённым наконечником, в циркулярном чехле с пластиковым направителем типа "пилот" синего цвета, 80 см; 0.038 дюйм; 3)вспомогательный стилет из нержавеющей стали с внутренним пластиковым сердечником для выпрямления закругленной части катетера, 325 мм; 4)дренажный катетер «Pigtail» из полиуретана, белый рентгеноконтрастный, покрыт гидрогелем, длина 30 см, центральное открытие, 6 дренажных отверстий по внутренней загнутой стороне наконечника,  углубления на прямой части дренажа для фиксации лигатурами к коже, фиксированный адаптер; 5) Запорный кран-переходник Luer-lock. 6)Адаптер к мочеприемнику; 6)Три информационные наклейки.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чрезобтураторной установки сетчатого эндопротеза на уретру без проводников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 состав набора входит: Цельновязанный сетчатый эндопротез длиной 30 см; лента из полипропиленовых и поливинилиденфторидных мононитей диаметром 0,1 мм, макропористой структурой. Край эндопротеза в виде петель. На концах эндопротеза петлеобразные проводники из хирургических нитей. Цвет: бело – синий, толщина: 0,40 мм, объемная пористость: 70 %, поверхностная плотность: 65 г/м2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чрезобтураторной установки сетчатого эндопротеза на уретру без проводников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 состав набора входит: Цельновязанный сетчатый эндопротез длиной 50 см; лента из полипропиленовых и поливинилиденфторидных мононитей диаметром 0,1 мм, макропористой структурой. Край эндопротеза в виде петель. На концах эндопротеза петлеобразные проводники из хирургических нитей. Цвет: бело – синий, толщина: 0,40 мм, объемная пористость: 70 %, поверхностная плотность: 65 г/м2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ультразвуковые коагуляционные 35-36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Инструмент диссекционно-коагуляционный, на основе ультразвуковых колебаний, преобразованных в механические продольные колебания рабочей бранши. Длина ствола не менее 36 см, диаметр ствола не более 5,5 мм. Наличие: антибликовое покрытие ствола, пистолетная рукоятка куркового типа, две кнопки активации, ротационное кольцо, вращение инструмента на 360 градусов, активная бранша титановая, изогнутая длинной не более 15 мм, шириной не более 1,5 мм, высотой не более 2,2 мм, пассивная бранша длиной не более 16 мм, шириной не более 2,5 мм, высотой не более 1 мм, с пластиковой накладкой с насечками, апертура раскрытия браншей не менее 12 мм, резиновые накладки на рукоятке и кнопках активации, резьбовой разьем для соединения с лапаросонической рукоятью. Совместим с ультразвуковм генератором HARMONIC GEN04. Поставляется стерильным.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Расширитель для нефростомии Amplatz</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рентгеноконтрастный расширитель, для осуществления нефростомического доступа, из полиуретана голубого цвета, диаметром 22 Шр, с рентгеноконтрастными сантиметровыми метками, рабочая длина 35 см, дистальный конец длиной 1 см конусообразно сужен, имеет внутреннее отверстие для проведения струны-проводника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ирригационная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Ирригационная система со шприцом 12мл. 1 шт/уп.</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СН 07 длительной имплантации 12 месяцев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двойная петля для внутреннего дренирования верхних отделов мочевыводящей системы, открытый/закрытый, длина 26 см, Ch 7, градуировка на стенте по сантиметрам, отверстия на петлях и прямой части стента, материал: термопластичный рентгенконтрастный полимер,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проводник Сельдингер с фиксированным сердечником, жесткий, длина 150см, диаметр 0,035", материал сталь с тефлоновым покрытием; соединяющийся толкатель, позволяющий перемещать стент в двух направлениях. Стерильный.Одноразовый.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СН 06 кратковременной имплантациии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хирургический, для ретроградного стентирования, 25 см из полиуретана, "двойной хвост", рентгенконрастный, белый, с зарытым дистальным концом. Длина прямой части 25 см, размер СН 6, дренажные отверстия по всей длине стента, сантиметровая разметка, линия для определения направления загиба конца стента, черная маркировка на конце стента. Толкатель из полиуретана, длина не менее 45 см, струна проводник с пластиковым покрытием, длиной 900 мм, пластиковый зажим, стерильная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PolarisUltra 6F, 26 см, длительной имплантации 12 месяцев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для обеспечения дренажа из почек в мочевой пузырь. Может быть установлен под эндоскопическим или флюороскопическимконтролем или во время открытой хирургической операции. С целью снижения риска интра- и постпроцедурных осложнений, в том числе дизурии, должны быть предусмотрены как минимум следующие конструктивные особенности: материал стента должен быть биосовместимым с возможностью нахождения в теле пациента не менее 365 дней; материал стента должен становиться мягче при нагревании до температуры тела пациента; сниженная цитотоксичность и цитодиструкция по сравнению со стандартным модифицированным полиуератном; повышенная дренирующая способность по сравнению со стандартным полиуретановым стентом; покрытие стента гидрофильное, снижающее риск инкрустации и облегчающее установку; дистальный кончик стента конусообразный, для облегчения введения в мочеточник; материал стента со стороны мочевого пузыря должен быть мягче материала со стороны почки. Перфорации по всей длине стента, спирально расположенные. Диаметр стента 6F. Длина стента (между пигтейлами) не менее 25,5 и не более 26,5 см. В комплекте нить для извеления и устройство для позиционирования. Стерильный. 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Струна-проводник для стента мочеточникового с подвижным сердечником тип Сельдингера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Нитиноловый проводник Сельдингера с тефлоновым покрытием, тип проводника - прямой наконечник, проводник с подвижным сердечником, длина проводника 150 см, диаметр 0,035", жесткость - стандартная. Стерилльный. 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Струна-проводник для стента мочеточникового тип Шуллера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Проводник-струна для установки катетеров. Изготовлен из нержавеющей стали, с тефлоновым покрытием, диаметром 0,035 дюйма. Длина 100 см, с прямым наконечником и неподвижным сердечником, жесткой частью 30 см, гибкой частью 7 см. Компактная стерильная упаковка. Не содержит латекса. Для однократного применения.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Струна-проводник ПТФЭ-нитиноловый с гидрофильным и гибким проксимальным концом 0,035"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нитиноловый для получения доступа к мочевыводящим путям и почкам для позиционирования эндоурологического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 сердечник проводника изготовлен из сплава никеля и титана (нитинол) или материала с аналогичными свойствами для обеспечения стойкости к излому и улучшения управления; проводник имеет 3 см гибкий атравматичный дистальный кончик и 5 см гидрофильное покрытие; проксимальный кончик проводника гибкий для предотвращения повреждения канала эндоскопа;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не менее 145 см и не более 155 см. Стерильный. Одноразовый.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Струна-проводник сверхжесткий с покрытием ПТФЭ 0,035"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стальной повышенной жесткости для получения доступа к мочевыводящим путям и почкам для позиционирования эндоурологического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 сердечник проводника изготовлен из стали или материала с аналогичными свойствами для обеспечения проталкиваемости и повышенной ренгенконтрастности; проводник имеет 3,5 см гибкий атравматичный дистальный кончик;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не менее 142,5 см и не более 147,5 см. Стерильный. Одноразовый.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Тубус для нефростомии по Amplatz</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трубка для осуществления нефростомического доступа, из полиуретана голубого цвета, диаметром 24 Шр, длиной 17 см, со скошенным дистальным концом для улучшенной визуализации, с гидрофильным покрытием для облегчения доступа.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Контейнер одноразовый для эвакуации органов и тканей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эвакуации и морцеляции органов и тканей, для предназначено однократного использования . Должны быть изготовлены из нейлоновой ткани (полиамид 66 нейлон), с упрочнённым плетением, покрытой полиуретановым эластомером.  плотность плетения долевых нитей не менее 50 ( нить/см2), плотность плетения поперечных нитей не менее 50( нить/см2), плотность плетения упрочненных нитей не менее 3( нить/см2), герметичность, максимальное усилие на разрыв ткани не менее 350 Н/50 мм, максимальное усилие на разрыв швов не менее 123 Н/50 мм,  диаметр отверстия не менее 142 (±0,5) мм и не более 146 (±0,5) мм, длина мешка от верха до низа не менее 68 (±0,3) мм и не более 72 (±0,3) мм, масса изделия не более 0,01 кг, петли для введения устройства (1-4), рентгеноконтрастная метка, рентгеноконтрастное вещество - BaSO4 не менее 60%, петля для закрывания устройства, цвет белый, прозрачный, цветные метки для ориентации устройства в полости, объём устройства не менее 150 мл и не более 250 мл, срок годности не менее 5 лет. Должны быть  стерильны этиленоксидом.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Контейнер одноразовый для эвакуации органов и тканей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эвакуации и морцеляции органов и тканей,  предназначено однократного использования . Должно быть изготовлены из нейлоновой ткани (полиамид 66 нейлон), с упрочнённым плетением, покрытой полиуретановым эластомером.  плотность плетения долевых нитей не менее 50 (нить/см2), плотность плетения поперечных нитей не менее 50 (нить/см2), плотность плетения упрочненных нитей не менее 3 (нить/см2), герметичность, максимальное усилие на разрыв ткани не менее 350 Н/50 мм, максимальное усилие на разрыв швов не менее 123 Н/50 мм,  диаметр отверстия не менее 83 (±0,5) мм и не более 87 (±0,5) мм, длина мешка от верха до низа не менее 83 (±0,3) мм и не более 87 (±0,3) мм, масса изделия не более 0,05 кг, петли для введения устройства (1-4), рентгеноконтрастная метка, рентгеноконтрастное вещество - BaSO4 не менее 60%, петля для закрывания устройства, цвет белый, прозрачный, цветные метки для ориентации устройства в полости, объём устройства не менее 1500 мл и не более 1550мл, срок годности не менее 5 лет. Механизм открытия  мешка: должен раскрываться за счет специальной системы внедрения, состоящей из стержня с подвижными клещами,  вставленными в отверстие по краю мешка. Проталкивание стержня вперед должно раскрывать мешок. Механизм закрытия мешка: должны содержать длинный хвост безопасности, в который помещена проволока, предназначенная для закрытия мешка после удаления стержня и подвижных частей.  Должны быть  стерильны этиленоксидом.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29.07.2022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