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6"/>
        <w:gridCol w:w="2889"/>
        <w:gridCol w:w="3965"/>
        <w:gridCol w:w="567"/>
        <w:gridCol w:w="708"/>
        <w:gridCol w:w="567"/>
        <w:gridCol w:w="768"/>
        <w:gridCol w:w="933"/>
      </w:tblGrid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RPr="000A3ABA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szCs w:val="16"/>
                <w:lang w:val="en-US"/>
              </w:rPr>
            </w:pPr>
          </w:p>
        </w:tc>
      </w:tr>
      <w:tr w:rsidR="00586D4F" w:rsidRPr="000A3ABA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szCs w:val="16"/>
                <w:lang w:val="en-US"/>
              </w:rPr>
            </w:pPr>
          </w:p>
        </w:tc>
      </w:tr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A3ABA" w:rsidP="000A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04.12.2019</w:t>
            </w:r>
            <w:r w:rsidR="008E181F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1160</w:t>
            </w:r>
            <w:r w:rsidR="008E181F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9840" w:type="dxa"/>
            <w:gridSpan w:val="7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86D4F" w:rsidRPr="008E181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 xml:space="preserve">Кол-во, </w:t>
            </w:r>
            <w:proofErr w:type="spellStart"/>
            <w:r w:rsidRPr="008E181F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Страна происхождения</w:t>
            </w: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в клиническом материале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выявления РНК вируса гепатита C (HCV) в клиническом материале методом полимеразной цепной реакции (ПЦР) с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детекцией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Набор реагентов для проведения реакции обратной транскрипции РНК и ПЦР-амплификации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кДНК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вируса гепатита С (HСV). Для выделения РНК HCV используются наборы «РИБО-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преп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», «РИБО-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 или «МАГНО-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вируса гепатита B (HBV) в клиническом материале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выявления ДНК вируса гепатита B (HBV) в </w:t>
            </w:r>
            <w:proofErr w:type="spellStart"/>
            <w:proofErr w:type="gramStart"/>
            <w:r w:rsidRPr="00FB1C83">
              <w:rPr>
                <w:rFonts w:ascii="Times New Roman" w:hAnsi="Times New Roman"/>
                <w:szCs w:val="16"/>
              </w:rPr>
              <w:t>кли-ническом</w:t>
            </w:r>
            <w:proofErr w:type="spellEnd"/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материале методом полимеразной цепной реакции (ПЦР) с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детек-цией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100F, ПЦР-комплект. Набор реагентов для амплификации ДНК вируса гепатита B (HBV) Для выделения ДНК HBV используются наборы «РИБО-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преп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», «РИБО-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 или «МАГНО-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Рибо-преп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формат FEP, 100F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поли-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меразной</w:t>
            </w:r>
            <w:proofErr w:type="spellEnd"/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цепной реакции.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фильтровальная, листовая, марка "Ф"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Бумага фильтровальная, листовая, марка "Ф", ГОСТ 12026-76, размер 420*600 мм, вес упаковки 10 кг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Селективная среда для выделения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сальмонелл,  в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упаковке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выделения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и  культивирования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грибов, банка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грибов.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в банке 250 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 среде с лизином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проведения контроля среды, в банке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в банке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в банке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Пептон ферментативный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энтерококков, в банке 500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идентификации микроорганизмов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идентификации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коринобактерий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тесту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расщепленния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цистина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сухая, 250г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Сорбит, для биохимической идентификации бактерий 500 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500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Мочевина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500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тестирования возбудителей дифтерии на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токсообразования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возбудителей дифтерии,250.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Крахмал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растворимый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бактерий,100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Chlamidia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trahomatis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Chlamidia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trahomatis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ПЦР-амплификации ДНК микроорганизмов рода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Ureaplasma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U.parvum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U.urealyticum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суммарно) c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детекцией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продуктов амплификации по ""конечной точке""</w:t>
            </w:r>
            <w:r w:rsidRPr="00FB1C83">
              <w:rPr>
                <w:rFonts w:ascii="Times New Roman" w:hAnsi="Times New Roman"/>
                <w:szCs w:val="16"/>
              </w:rPr>
              <w:br/>
              <w:t>Все компоненты набора готовы к работе и не требуют восстановления</w:t>
            </w:r>
            <w:r w:rsidRPr="00FB1C83">
              <w:rPr>
                <w:rFonts w:ascii="Times New Roman" w:hAnsi="Times New Roman"/>
                <w:szCs w:val="16"/>
              </w:rPr>
              <w:br/>
              <w:t xml:space="preserve">ПЦР-смесь-1 должна быть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раскапана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под воск, в пробирки 0,5 мл для обеспечения ""горячего старта""</w:t>
            </w:r>
            <w:r w:rsidRPr="00FB1C83">
              <w:rPr>
                <w:rFonts w:ascii="Times New Roman" w:hAnsi="Times New Roman"/>
                <w:szCs w:val="16"/>
              </w:rPr>
              <w:br/>
              <w:t>Готовые ПЦР-смеси должны иметь срок годности равный сроку годности тест-системы</w:t>
            </w:r>
            <w:r w:rsidRPr="00FB1C83">
              <w:rPr>
                <w:rFonts w:ascii="Times New Roman" w:hAnsi="Times New Roman"/>
                <w:szCs w:val="16"/>
              </w:rPr>
              <w:br/>
              <w:t>Наличие готовой ПЦР-смеси-2, не требующей смешивания дополнительных компонентов</w:t>
            </w:r>
            <w:r w:rsidRPr="00FB1C83">
              <w:rPr>
                <w:rFonts w:ascii="Times New Roman" w:hAnsi="Times New Roman"/>
                <w:szCs w:val="16"/>
              </w:rPr>
              <w:br/>
              <w:t>Наличие комплексного положительного контрольного образца (ПКО), ПЦР-смеси-Фон, минерального масла, ДНК-буфера</w:t>
            </w:r>
            <w:r w:rsidRPr="00FB1C83">
              <w:rPr>
                <w:rFonts w:ascii="Times New Roman" w:hAnsi="Times New Roman"/>
                <w:szCs w:val="16"/>
              </w:rPr>
              <w:br/>
              <w:t>Количество тестов не менее 100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 xml:space="preserve">ДНК 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Mycoplasma</w:t>
            </w:r>
            <w:proofErr w:type="spellEnd"/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hominis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Neisseria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gonorrhoeae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(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используется  одна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пара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праймеров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). Набор направлен на выявление альтернативной мишени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Neisseria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gonorrhoeae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Gardnerella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Gardnerella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vaginalis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Trichomonas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vaginalis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Candida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albicans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CMV-FL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 реагентов для амплификации ДНК CMV.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HSV 1,2 типов-FEP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 реагентов для амплификации ДНК вирусов простого герпеса (HSV).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-АМ (вариант 100)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Возможность выделения ДНК из клинического материала (мазки, соскобы слизистых оболочек, а также эрозивно-язвенных элементов слизистых и кожи человека) с использованием сорбции на силикагеле</w:t>
            </w:r>
            <w:r w:rsidRPr="00FB1C83">
              <w:rPr>
                <w:rFonts w:ascii="Times New Roman" w:hAnsi="Times New Roman"/>
                <w:szCs w:val="16"/>
              </w:rPr>
              <w:br/>
              <w:t>Возможность использования внутреннего контрольного образца на этапе выделения нуклеиновых кислот</w:t>
            </w:r>
            <w:r w:rsidRPr="00FB1C83">
              <w:rPr>
                <w:rFonts w:ascii="Times New Roman" w:hAnsi="Times New Roman"/>
                <w:szCs w:val="16"/>
              </w:rPr>
              <w:br/>
              <w:t>Наличие комплекта контрольных образцов ВКО, ОКО</w:t>
            </w:r>
            <w:r w:rsidRPr="00FB1C83">
              <w:rPr>
                <w:rFonts w:ascii="Times New Roman" w:hAnsi="Times New Roman"/>
                <w:szCs w:val="16"/>
              </w:rPr>
              <w:br/>
              <w:t xml:space="preserve">Наличие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лизирующего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раствора. Наличие универсального сорбента</w:t>
            </w:r>
            <w:r w:rsidRPr="00FB1C83">
              <w:rPr>
                <w:rFonts w:ascii="Times New Roman" w:hAnsi="Times New Roman"/>
                <w:szCs w:val="16"/>
              </w:rPr>
              <w:br/>
              <w:t xml:space="preserve">Наличие растворов для отмывки 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элюции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ДНК</w:t>
            </w:r>
            <w:r w:rsidRPr="00FB1C83">
              <w:rPr>
                <w:rFonts w:ascii="Times New Roman" w:hAnsi="Times New Roman"/>
                <w:szCs w:val="16"/>
              </w:rPr>
              <w:br/>
              <w:t>Количество проб не менее 100.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 для РА №10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Диагностикум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бруцеллёзный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, жидкий для РА, 10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2 мл.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 №10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Дифтерийный анатоксин, 10 ампул по 1 мл.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S, 0,04ЕД/диск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Тест для идентификации S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pyogenes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50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желчью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идентификации S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pneumoniae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100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оптохином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идентификации S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pneumoniae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100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Бумага индикаторная универсальная, рН от 1 до 10, применяется для лабораторных исследований. Фасовка – упаковка № 100.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сернокислый безводный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исследований, квалификация по химической чистоте -"Чистый для анализа" (ЧДА), 1кг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Натрий сернокислый безводный применяется для лабораторных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исследований,  квалификация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по химической чистоте -"Чистый для анализа" (ЧДА). Фасовка - упаковка 1 кг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5ЕД/диск гемофильной палочки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Тест для идентификации гемофильной палочки, 50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сапонином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Тест для идентификации гемофильной палочки, 100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стеклянные, биологическая, ровный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край  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-20см, d-2,0см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Пробирки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стеклянные ,биологическая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, ровный край  h-20см, d-2,0см.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Чашка Петри 100мм стекло.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Цилиндр мерный с носиком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стеклянной основе 1000 мл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Цилиндр мерный с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носикомна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на стеклянной основе, на 1000 мл.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Транспортная система со средой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Амиес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с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акт.углём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полистерол+вискоза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), для забора 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доставки  биологического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материала.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Транспортная система со средой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Кери-Блейра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полистерол+вискоза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), для забора 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доставки  биологического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материала.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Чашки Петри 60×15 мм,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, стерильные, 18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в  упаковке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Чашки Петри 90×15 мм,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, стерильные, 20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в  упаковке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 60 мин. №20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Индикатор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биологическией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для контроля паровой стерилизации 132°С,60 мин для тестирования режимов: 132°-45, 132°-60, 132°-90, 20 шт.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(споровая культура).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биологический для контроля воздушной стерилизации 180°С 60 мин. №5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Индикатор биологический для контроля воздушной стерилизации 180°С 60 мин 5шт.в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уп.для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контроля режимов: 180°С 60мин, 160°С 150мин (споровая культура).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10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тетрациклин 30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10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gramStart"/>
            <w:r w:rsidRPr="00FB1C83">
              <w:rPr>
                <w:rFonts w:ascii="Times New Roman" w:hAnsi="Times New Roman"/>
                <w:szCs w:val="16"/>
              </w:rPr>
              <w:t>Диски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импрегнированные ампициллином для определения чувствительности микроорганизмов к антибиотикам. Нагрузка диска10 мкг. Диаметр диска 6,35 мм. Маркировка АМР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Влагопоглотитель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силикагелевой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природы изолированный мембраной. Количество дисков в 1 картридже 50. Количество картриджей в 1 упаковке 4.  Совместимость с диспенсерами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Bio-Rad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Считывание результатов визуально, с помощью анализаторов Озирис, Адажио.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оксациллин 1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эритромицин 15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мкг,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амоксициллин/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тикарциллин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мкг/10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мкг,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Метиловый синий 100 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Метиловый синий хч,100г.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4-диметиламинобензольдегид (реагент Эрлиха)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4-диметиламинобензольдегид (реагент Эрлиха).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Чда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0,1кг.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Бромтимоловый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Бромтимоловый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синий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чда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100г (водорастворимый).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бактериологический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Держатель бактериологический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ВПЧ ВКР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выявления ДНК вирусов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папиломмы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человека (ВПЧ) высокого канцерогенного риска (ВКР) 1б, 18, 31, 33, 35, 39, 45, 52, 58, 59, 67 типов в клиническом материале методом полимеразной цепной реакции "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ВПЧ ВКР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скрин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-FL" Формат FEP, 100R, пробирки 0,5, ПЦР комплект. Для 2х и более канального детектора флуоресценции.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Масло иммерсионное,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нефлуоресцирующее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флакон 10 мл.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бензилпенициллин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ЕД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30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2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нетилмицин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пиперациллин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тазобактам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мкг/6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цефокситин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бульон ГРМ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питательный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Спринцовка резиновая №0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Спинцовка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резиновая № 0 (</w:t>
            </w:r>
            <w:proofErr w:type="spellStart"/>
            <w:proofErr w:type="gramStart"/>
            <w:r w:rsidRPr="00FB1C83">
              <w:rPr>
                <w:rFonts w:ascii="Times New Roman" w:hAnsi="Times New Roman"/>
                <w:szCs w:val="16"/>
              </w:rPr>
              <w:t>каплесчитатель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 резиновый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) для забора реактивов.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Карандаш по стеклу.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№1000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Пробирка биологическая 16*150 мм (стекло марки НС), ровный край 1000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в упаковке.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 кристаллический 0,5 в стеклянном флаконе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Иод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кристаллический 0,5 в стеклянном флаконе.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для окраски мазков по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Граму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, предназначен для дифференциальной окраски исследования структуры клеточной стенки и выявления принадлежности бактерий к грамположительным или грамотрицательным группам. Состав набора: карболовый раствор </w:t>
            </w:r>
            <w:proofErr w:type="spellStart"/>
            <w:proofErr w:type="gramStart"/>
            <w:r w:rsidRPr="00FB1C83">
              <w:rPr>
                <w:rFonts w:ascii="Times New Roman" w:hAnsi="Times New Roman"/>
                <w:szCs w:val="16"/>
              </w:rPr>
              <w:t>генцианвиолета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 100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мл., раствор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Люголя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 100 мл., карболовый фуксин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Циля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 10 мл. Количество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определений  200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Тиогликолевая среда для контроля стерильности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Среда Эндо предназначена для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 xml:space="preserve">выделения 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энтеробактерий</w:t>
            </w:r>
            <w:proofErr w:type="spellEnd"/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гр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/л: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Панкреатическийгидролизат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рыбной муки 12,0, дрожжевой экстракт 1,0, натрия хлорид 3,4, натрия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сульфит  0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,8, натрия фосфат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двузамещенный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0,5,  лактоза  10,0, фуксин основной 0,2,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агар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- 10,0. Фасовка: 250гр;  рН  готовой среды: 7,4.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биохимической идентификации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бактерий,  в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банке 250г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Компонент питательной среды,100 мл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выделения и культивирования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лактобактерий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в упаковке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выделения и культивирования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бифидобактерий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в упаковке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199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Добавка для определении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токсигенности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дифтерийных возбудителей, флакон 400 мл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500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сальмонелл,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анаэробов, в упаковке 500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идентификации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стафилококков,  ампула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по 1 мл.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энтерококков,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биохимической идентификации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бактерий,  в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банке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375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 w:rsidP="00FB1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B1C83">
              <w:rPr>
                <w:rFonts w:ascii="Times New Roman" w:hAnsi="Times New Roman"/>
                <w:sz w:val="28"/>
                <w:szCs w:val="28"/>
              </w:rPr>
              <w:t>по графику поставки 2020г.</w:t>
            </w:r>
          </w:p>
        </w:tc>
      </w:tr>
      <w:tr w:rsidR="00586D4F" w:rsidTr="008E181F">
        <w:trPr>
          <w:trHeight w:val="12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86D4F" w:rsidTr="008E181F">
        <w:trPr>
          <w:trHeight w:val="12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86D4F" w:rsidTr="008E181F">
        <w:trPr>
          <w:trHeight w:val="165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 w:rsidP="00FB1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F4771">
              <w:rPr>
                <w:rFonts w:ascii="Times New Roman" w:hAnsi="Times New Roman"/>
                <w:sz w:val="28"/>
                <w:szCs w:val="28"/>
              </w:rPr>
              <w:t>0</w:t>
            </w:r>
            <w:r w:rsidR="000A3AB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0A6F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  <w:p w:rsidR="000C18A0" w:rsidRDefault="000C18A0" w:rsidP="00FB1C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18A0" w:rsidRDefault="000C18A0" w:rsidP="00FB1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86D4F" w:rsidTr="008E181F"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6D4F" w:rsidTr="008E181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A10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</w:t>
            </w:r>
            <w:r w:rsidR="00FB1C83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B1C83">
              <w:rPr>
                <w:rFonts w:ascii="Times New Roman" w:hAnsi="Times New Roman"/>
                <w:sz w:val="28"/>
                <w:szCs w:val="28"/>
              </w:rPr>
              <w:t>вна</w:t>
            </w:r>
            <w:r w:rsidR="000C18A0"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184846">
              <w:rPr>
                <w:rFonts w:ascii="Times New Roman" w:hAnsi="Times New Roman"/>
                <w:sz w:val="28"/>
                <w:szCs w:val="28"/>
              </w:rPr>
              <w:t>8(391)</w:t>
            </w:r>
            <w:r w:rsidR="00FB1C83"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6E77D2" w:rsidRDefault="006E77D2"/>
    <w:sectPr w:rsidR="006E77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4F"/>
    <w:rsid w:val="000A3ABA"/>
    <w:rsid w:val="000C18A0"/>
    <w:rsid w:val="00184846"/>
    <w:rsid w:val="002F4771"/>
    <w:rsid w:val="00362412"/>
    <w:rsid w:val="00586D4F"/>
    <w:rsid w:val="006E77D2"/>
    <w:rsid w:val="008E181F"/>
    <w:rsid w:val="00A10A6F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B9054-EA10-4F9D-ADCE-0A5CD62B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2019-12-05T07:21:00Z</dcterms:created>
  <dcterms:modified xsi:type="dcterms:W3CDTF">2019-12-05T07:22:00Z</dcterms:modified>
</cp:coreProperties>
</file>