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56"/>
        <w:gridCol w:w="2201"/>
        <w:gridCol w:w="3084"/>
        <w:gridCol w:w="569"/>
        <w:gridCol w:w="636"/>
        <w:gridCol w:w="849"/>
        <w:gridCol w:w="1697"/>
        <w:gridCol w:w="1381"/>
      </w:tblGrid>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69" w:type="dxa"/>
            <w:shd w:val="clear" w:color="FFFFFF" w:fill="auto"/>
            <w:vAlign w:val="bottom"/>
          </w:tcPr>
          <w:p w:rsidR="00F60602" w:rsidRDefault="00F60602">
            <w:pPr>
              <w:rPr>
                <w:rFonts w:ascii="Times New Roman" w:hAnsi="Times New Roman"/>
                <w:sz w:val="24"/>
                <w:szCs w:val="24"/>
              </w:rPr>
            </w:pPr>
          </w:p>
        </w:tc>
        <w:tc>
          <w:tcPr>
            <w:tcW w:w="1485" w:type="dxa"/>
            <w:gridSpan w:val="2"/>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Руководителю</w:t>
            </w: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Телефон: 8 (391) 220-16-13</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Факс: 8 (391) 220-16-23</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RPr="00B84F2F"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Pr="00B84F2F" w:rsidRDefault="00B84F2F">
            <w:pPr>
              <w:jc w:val="center"/>
              <w:rPr>
                <w:rFonts w:ascii="Times New Roman" w:hAnsi="Times New Roman"/>
                <w:sz w:val="24"/>
                <w:szCs w:val="24"/>
                <w:lang w:val="en-US"/>
              </w:rPr>
            </w:pPr>
            <w:r>
              <w:rPr>
                <w:rFonts w:ascii="Times New Roman" w:hAnsi="Times New Roman"/>
                <w:sz w:val="24"/>
                <w:szCs w:val="24"/>
              </w:rPr>
              <w:t>Е</w:t>
            </w:r>
            <w:r w:rsidRPr="00B84F2F">
              <w:rPr>
                <w:rFonts w:ascii="Times New Roman" w:hAnsi="Times New Roman"/>
                <w:sz w:val="24"/>
                <w:szCs w:val="24"/>
                <w:lang w:val="en-US"/>
              </w:rPr>
              <w:t xml:space="preserve">-mail: </w:t>
            </w:r>
            <w:proofErr w:type="spellStart"/>
            <w:r w:rsidRPr="00B84F2F">
              <w:rPr>
                <w:rFonts w:ascii="Times New Roman" w:hAnsi="Times New Roman"/>
                <w:sz w:val="24"/>
                <w:szCs w:val="24"/>
                <w:lang w:val="en-US"/>
              </w:rPr>
              <w:t>kkb</w:t>
            </w:r>
            <w:proofErr w:type="spellEnd"/>
            <w:r w:rsidRPr="00B84F2F">
              <w:rPr>
                <w:rFonts w:ascii="Times New Roman" w:hAnsi="Times New Roman"/>
                <w:sz w:val="24"/>
                <w:szCs w:val="24"/>
                <w:lang w:val="en-US"/>
              </w:rPr>
              <w:t xml:space="preserve">@ </w:t>
            </w:r>
            <w:proofErr w:type="spellStart"/>
            <w:r w:rsidRPr="00B84F2F">
              <w:rPr>
                <w:rFonts w:ascii="Times New Roman" w:hAnsi="Times New Roman"/>
                <w:sz w:val="24"/>
                <w:szCs w:val="24"/>
                <w:lang w:val="en-US"/>
              </w:rPr>
              <w:t>medqorod</w:t>
            </w:r>
            <w:proofErr w:type="spellEnd"/>
            <w:r w:rsidRPr="00B84F2F">
              <w:rPr>
                <w:rFonts w:ascii="Times New Roman" w:hAnsi="Times New Roman"/>
                <w:sz w:val="24"/>
                <w:szCs w:val="24"/>
                <w:lang w:val="en-US"/>
              </w:rPr>
              <w:t xml:space="preserve">. </w:t>
            </w:r>
            <w:proofErr w:type="spellStart"/>
            <w:r w:rsidRPr="00B84F2F">
              <w:rPr>
                <w:rFonts w:ascii="Times New Roman" w:hAnsi="Times New Roman"/>
                <w:sz w:val="24"/>
                <w:szCs w:val="24"/>
                <w:lang w:val="en-US"/>
              </w:rPr>
              <w:t>ru</w:t>
            </w:r>
            <w:proofErr w:type="spellEnd"/>
          </w:p>
        </w:tc>
        <w:tc>
          <w:tcPr>
            <w:tcW w:w="569" w:type="dxa"/>
            <w:shd w:val="clear" w:color="FFFFFF" w:fill="auto"/>
            <w:vAlign w:val="bottom"/>
          </w:tcPr>
          <w:p w:rsidR="00F60602" w:rsidRPr="00B84F2F" w:rsidRDefault="00F60602">
            <w:pPr>
              <w:rPr>
                <w:rFonts w:ascii="Times New Roman" w:hAnsi="Times New Roman"/>
                <w:sz w:val="24"/>
                <w:szCs w:val="24"/>
                <w:lang w:val="en-US"/>
              </w:rPr>
            </w:pPr>
          </w:p>
        </w:tc>
        <w:tc>
          <w:tcPr>
            <w:tcW w:w="636" w:type="dxa"/>
            <w:shd w:val="clear" w:color="FFFFFF" w:fill="auto"/>
            <w:vAlign w:val="bottom"/>
          </w:tcPr>
          <w:p w:rsidR="00F60602" w:rsidRPr="00B84F2F" w:rsidRDefault="00F60602">
            <w:pPr>
              <w:rPr>
                <w:rFonts w:ascii="Times New Roman" w:hAnsi="Times New Roman"/>
                <w:sz w:val="24"/>
                <w:szCs w:val="24"/>
                <w:lang w:val="en-US"/>
              </w:rPr>
            </w:pPr>
          </w:p>
        </w:tc>
        <w:tc>
          <w:tcPr>
            <w:tcW w:w="849" w:type="dxa"/>
            <w:shd w:val="clear" w:color="FFFFFF" w:fill="auto"/>
            <w:vAlign w:val="bottom"/>
          </w:tcPr>
          <w:p w:rsidR="00F60602" w:rsidRPr="00B84F2F" w:rsidRDefault="00F60602">
            <w:pPr>
              <w:rPr>
                <w:rFonts w:ascii="Times New Roman" w:hAnsi="Times New Roman"/>
                <w:sz w:val="24"/>
                <w:szCs w:val="24"/>
                <w:lang w:val="en-US"/>
              </w:rPr>
            </w:pPr>
          </w:p>
        </w:tc>
        <w:tc>
          <w:tcPr>
            <w:tcW w:w="1697" w:type="dxa"/>
            <w:shd w:val="clear" w:color="FFFFFF" w:fill="auto"/>
            <w:vAlign w:val="bottom"/>
          </w:tcPr>
          <w:p w:rsidR="00F60602" w:rsidRPr="00B84F2F" w:rsidRDefault="00F60602">
            <w:pPr>
              <w:rPr>
                <w:rFonts w:ascii="Times New Roman" w:hAnsi="Times New Roman"/>
                <w:sz w:val="24"/>
                <w:szCs w:val="24"/>
                <w:lang w:val="en-US"/>
              </w:rPr>
            </w:pPr>
          </w:p>
        </w:tc>
        <w:tc>
          <w:tcPr>
            <w:tcW w:w="1381" w:type="dxa"/>
            <w:shd w:val="clear" w:color="FFFFFF" w:fill="auto"/>
            <w:vAlign w:val="bottom"/>
          </w:tcPr>
          <w:p w:rsidR="00F60602" w:rsidRPr="00B84F2F" w:rsidRDefault="00F60602">
            <w:pPr>
              <w:rPr>
                <w:szCs w:val="16"/>
                <w:lang w:val="en-US"/>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Http://www.medgorod.ru</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ОКПО 01913234</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ИНН/КПП 2465030876/246501001</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rsidP="00B84F2F">
            <w:pPr>
              <w:jc w:val="center"/>
              <w:rPr>
                <w:rFonts w:ascii="Times New Roman" w:hAnsi="Times New Roman"/>
                <w:sz w:val="24"/>
                <w:szCs w:val="24"/>
              </w:rPr>
            </w:pPr>
            <w:r>
              <w:rPr>
                <w:rFonts w:ascii="Times New Roman" w:hAnsi="Times New Roman"/>
                <w:sz w:val="24"/>
                <w:szCs w:val="24"/>
              </w:rPr>
              <w:t>21.12.2020</w:t>
            </w:r>
            <w:r>
              <w:rPr>
                <w:rFonts w:ascii="Times New Roman" w:hAnsi="Times New Roman"/>
                <w:sz w:val="24"/>
                <w:szCs w:val="24"/>
              </w:rPr>
              <w:t xml:space="preserve"> г. №.1108-2020</w:t>
            </w:r>
            <w:bookmarkStart w:id="0" w:name="_GoBack"/>
            <w:bookmarkEnd w:id="0"/>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На №_________ от ________________</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rFonts w:ascii="Times New Roman" w:hAnsi="Times New Roman"/>
                <w:sz w:val="24"/>
                <w:szCs w:val="24"/>
              </w:rPr>
            </w:pPr>
          </w:p>
        </w:tc>
        <w:tc>
          <w:tcPr>
            <w:tcW w:w="2201" w:type="dxa"/>
            <w:shd w:val="clear" w:color="FFFFFF" w:fill="auto"/>
            <w:vAlign w:val="bottom"/>
          </w:tcPr>
          <w:p w:rsidR="00F60602" w:rsidRDefault="00F60602">
            <w:pPr>
              <w:rPr>
                <w:rFonts w:ascii="Times New Roman" w:hAnsi="Times New Roman"/>
                <w:sz w:val="24"/>
                <w:szCs w:val="24"/>
              </w:rPr>
            </w:pPr>
          </w:p>
        </w:tc>
        <w:tc>
          <w:tcPr>
            <w:tcW w:w="3084" w:type="dxa"/>
            <w:shd w:val="clear" w:color="FFFFFF" w:fill="auto"/>
            <w:vAlign w:val="bottom"/>
          </w:tcPr>
          <w:p w:rsidR="00F60602" w:rsidRDefault="00F60602">
            <w:pPr>
              <w:rPr>
                <w:rFonts w:ascii="Times New Roman" w:hAnsi="Times New Roman"/>
                <w:sz w:val="24"/>
                <w:szCs w:val="24"/>
              </w:rPr>
            </w:pP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5641" w:type="dxa"/>
            <w:gridSpan w:val="3"/>
            <w:shd w:val="clear" w:color="FFFFFF" w:fill="auto"/>
            <w:vAlign w:val="bottom"/>
          </w:tcPr>
          <w:p w:rsidR="00F60602" w:rsidRDefault="00B84F2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rFonts w:ascii="Times New Roman" w:hAnsi="Times New Roman"/>
                <w:sz w:val="24"/>
                <w:szCs w:val="24"/>
              </w:rPr>
            </w:pPr>
          </w:p>
        </w:tc>
        <w:tc>
          <w:tcPr>
            <w:tcW w:w="2201" w:type="dxa"/>
            <w:shd w:val="clear" w:color="FFFFFF" w:fill="auto"/>
            <w:vAlign w:val="bottom"/>
          </w:tcPr>
          <w:p w:rsidR="00F60602" w:rsidRDefault="00F60602">
            <w:pPr>
              <w:rPr>
                <w:rFonts w:ascii="Times New Roman" w:hAnsi="Times New Roman"/>
                <w:sz w:val="24"/>
                <w:szCs w:val="24"/>
              </w:rPr>
            </w:pPr>
          </w:p>
        </w:tc>
        <w:tc>
          <w:tcPr>
            <w:tcW w:w="3084" w:type="dxa"/>
            <w:shd w:val="clear" w:color="FFFFFF" w:fill="auto"/>
            <w:vAlign w:val="bottom"/>
          </w:tcPr>
          <w:p w:rsidR="00F60602" w:rsidRDefault="00F60602">
            <w:pPr>
              <w:rPr>
                <w:rFonts w:ascii="Times New Roman" w:hAnsi="Times New Roman"/>
                <w:sz w:val="24"/>
                <w:szCs w:val="24"/>
              </w:rPr>
            </w:pPr>
          </w:p>
        </w:tc>
        <w:tc>
          <w:tcPr>
            <w:tcW w:w="569" w:type="dxa"/>
            <w:shd w:val="clear" w:color="FFFFFF" w:fill="auto"/>
            <w:vAlign w:val="bottom"/>
          </w:tcPr>
          <w:p w:rsidR="00F60602" w:rsidRDefault="00F60602">
            <w:pPr>
              <w:rPr>
                <w:rFonts w:ascii="Times New Roman" w:hAnsi="Times New Roman"/>
                <w:sz w:val="24"/>
                <w:szCs w:val="24"/>
              </w:rPr>
            </w:pPr>
          </w:p>
        </w:tc>
        <w:tc>
          <w:tcPr>
            <w:tcW w:w="636" w:type="dxa"/>
            <w:shd w:val="clear" w:color="FFFFFF" w:fill="auto"/>
            <w:vAlign w:val="bottom"/>
          </w:tcPr>
          <w:p w:rsidR="00F60602" w:rsidRDefault="00F60602">
            <w:pPr>
              <w:rPr>
                <w:rFonts w:ascii="Times New Roman" w:hAnsi="Times New Roman"/>
                <w:sz w:val="24"/>
                <w:szCs w:val="24"/>
              </w:rPr>
            </w:pPr>
          </w:p>
        </w:tc>
        <w:tc>
          <w:tcPr>
            <w:tcW w:w="849" w:type="dxa"/>
            <w:shd w:val="clear" w:color="FFFFFF" w:fill="auto"/>
            <w:vAlign w:val="bottom"/>
          </w:tcPr>
          <w:p w:rsidR="00F60602" w:rsidRDefault="00F60602">
            <w:pPr>
              <w:rPr>
                <w:rFonts w:ascii="Times New Roman" w:hAnsi="Times New Roman"/>
                <w:sz w:val="24"/>
                <w:szCs w:val="24"/>
              </w:rPr>
            </w:pPr>
          </w:p>
        </w:tc>
        <w:tc>
          <w:tcPr>
            <w:tcW w:w="1697" w:type="dxa"/>
            <w:shd w:val="clear" w:color="FFFFFF" w:fill="auto"/>
            <w:vAlign w:val="bottom"/>
          </w:tcPr>
          <w:p w:rsidR="00F60602" w:rsidRDefault="00F60602">
            <w:pPr>
              <w:rPr>
                <w:rFonts w:ascii="Times New Roman" w:hAnsi="Times New Roman"/>
                <w:sz w:val="24"/>
                <w:szCs w:val="24"/>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9392" w:type="dxa"/>
            <w:gridSpan w:val="7"/>
            <w:shd w:val="clear" w:color="FFFFFF" w:fill="auto"/>
            <w:vAlign w:val="bottom"/>
          </w:tcPr>
          <w:p w:rsidR="00F60602" w:rsidRDefault="00B84F2F">
            <w:pPr>
              <w:jc w:val="center"/>
              <w:rPr>
                <w:rFonts w:ascii="Times New Roman" w:hAnsi="Times New Roman"/>
                <w:b/>
                <w:sz w:val="28"/>
                <w:szCs w:val="28"/>
              </w:rPr>
            </w:pPr>
            <w:r>
              <w:rPr>
                <w:rFonts w:ascii="Times New Roman" w:hAnsi="Times New Roman"/>
                <w:b/>
                <w:sz w:val="28"/>
                <w:szCs w:val="28"/>
              </w:rPr>
              <w:t>Уважаемые господа!</w:t>
            </w: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F60602"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 п/п</w:t>
            </w:r>
          </w:p>
        </w:tc>
        <w:tc>
          <w:tcPr>
            <w:tcW w:w="2201"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Наименование</w:t>
            </w:r>
          </w:p>
        </w:tc>
        <w:tc>
          <w:tcPr>
            <w:tcW w:w="3084"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Характеристики</w:t>
            </w:r>
          </w:p>
        </w:tc>
        <w:tc>
          <w:tcPr>
            <w:tcW w:w="569"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Ед. изм.</w:t>
            </w:r>
          </w:p>
        </w:tc>
        <w:tc>
          <w:tcPr>
            <w:tcW w:w="636"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49"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Цена, рублей</w:t>
            </w:r>
          </w:p>
        </w:tc>
        <w:tc>
          <w:tcPr>
            <w:tcW w:w="1697" w:type="dxa"/>
            <w:tcBorders>
              <w:top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381" w:type="dxa"/>
            <w:tcBorders>
              <w:top w:val="single" w:sz="5" w:space="0" w:color="auto"/>
              <w:left w:val="single" w:sz="5" w:space="0" w:color="auto"/>
              <w:bottom w:val="single" w:sz="5" w:space="0" w:color="auto"/>
              <w:right w:val="single" w:sz="5" w:space="0" w:color="auto"/>
            </w:tcBorders>
            <w:shd w:val="clear" w:color="FFFFFF" w:fill="auto"/>
            <w:vAlign w:val="center"/>
          </w:tcPr>
          <w:p w:rsidR="00F60602" w:rsidRDefault="00B84F2F">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F60602"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60602" w:rsidRPr="00B84F2F" w:rsidRDefault="00B84F2F">
            <w:pPr>
              <w:jc w:val="center"/>
              <w:rPr>
                <w:rFonts w:ascii="Times New Roman" w:hAnsi="Times New Roman"/>
                <w:sz w:val="24"/>
                <w:szCs w:val="24"/>
                <w:lang w:val="en-US"/>
              </w:rPr>
            </w:pPr>
            <w:r>
              <w:rPr>
                <w:rFonts w:ascii="Times New Roman" w:hAnsi="Times New Roman"/>
                <w:sz w:val="24"/>
                <w:szCs w:val="24"/>
                <w:lang w:val="en-US"/>
              </w:rPr>
              <w:t>1</w:t>
            </w:r>
          </w:p>
        </w:tc>
        <w:tc>
          <w:tcPr>
            <w:tcW w:w="2201"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 xml:space="preserve">Пластырь </w:t>
            </w:r>
            <w:r>
              <w:rPr>
                <w:rFonts w:ascii="Times New Roman" w:hAnsi="Times New Roman"/>
                <w:sz w:val="24"/>
                <w:szCs w:val="24"/>
              </w:rPr>
              <w:t>прозрачный для фиксации канюль и катетеров 7,5 х 6,5 см</w:t>
            </w:r>
          </w:p>
        </w:tc>
        <w:tc>
          <w:tcPr>
            <w:tcW w:w="3084"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 xml:space="preserve">Стерильная самоклеющаяся повязка в форме "омега" для фиксации канюль, размер 7,5 х 6,5 см. Прозрачная, "дышащая" мембрана с краями из вспененного полиуретана - ширина краёв от 0,4 мм до 1,1 см и 2-мя </w:t>
            </w:r>
            <w:r>
              <w:rPr>
                <w:rFonts w:ascii="Times New Roman" w:hAnsi="Times New Roman"/>
                <w:sz w:val="24"/>
                <w:szCs w:val="24"/>
              </w:rPr>
              <w:t xml:space="preserve">эластичными полосками 1,1 см х 3,6 см для удерживания центральных венозных </w:t>
            </w:r>
            <w:proofErr w:type="spellStart"/>
            <w:r>
              <w:rPr>
                <w:rFonts w:ascii="Times New Roman" w:hAnsi="Times New Roman"/>
                <w:sz w:val="24"/>
                <w:szCs w:val="24"/>
              </w:rPr>
              <w:t>кататеров</w:t>
            </w:r>
            <w:proofErr w:type="spellEnd"/>
            <w:r>
              <w:rPr>
                <w:rFonts w:ascii="Times New Roman" w:hAnsi="Times New Roman"/>
                <w:sz w:val="24"/>
                <w:szCs w:val="24"/>
              </w:rPr>
              <w:t xml:space="preserve">. Обеспечивает легкое наложение и хорошую фиксацию, мембрана обеспечивает барьер против проникновения микроорганизмов и позволяет визуализировать область наложения в любое </w:t>
            </w:r>
            <w:r>
              <w:rPr>
                <w:rFonts w:ascii="Times New Roman" w:hAnsi="Times New Roman"/>
                <w:sz w:val="24"/>
                <w:szCs w:val="24"/>
              </w:rPr>
              <w:t xml:space="preserve">время. Со стороны повязки размером 7,5 см имеется вырез в форме полукруга 0,8 мм х 0,9 мм. Паропроницаема. Состав мембранного окна: полиуретановая пленка, </w:t>
            </w:r>
            <w:proofErr w:type="spellStart"/>
            <w:r>
              <w:rPr>
                <w:rFonts w:ascii="Times New Roman" w:hAnsi="Times New Roman"/>
                <w:sz w:val="24"/>
                <w:szCs w:val="24"/>
              </w:rPr>
              <w:t>полиакрилатный</w:t>
            </w:r>
            <w:proofErr w:type="spellEnd"/>
            <w:r>
              <w:rPr>
                <w:rFonts w:ascii="Times New Roman" w:hAnsi="Times New Roman"/>
                <w:sz w:val="24"/>
                <w:szCs w:val="24"/>
              </w:rPr>
              <w:t xml:space="preserve"> клей (не </w:t>
            </w:r>
            <w:r>
              <w:rPr>
                <w:rFonts w:ascii="Times New Roman" w:hAnsi="Times New Roman"/>
                <w:sz w:val="24"/>
                <w:szCs w:val="24"/>
              </w:rPr>
              <w:lastRenderedPageBreak/>
              <w:t xml:space="preserve">содержит канифоли и ее производных). Покрытая клеем сторона повязки защищена </w:t>
            </w:r>
            <w:r>
              <w:rPr>
                <w:rFonts w:ascii="Times New Roman" w:hAnsi="Times New Roman"/>
                <w:sz w:val="24"/>
                <w:szCs w:val="24"/>
              </w:rPr>
              <w:t xml:space="preserve">слоем бумаги, </w:t>
            </w:r>
            <w:proofErr w:type="spellStart"/>
            <w:r>
              <w:rPr>
                <w:rFonts w:ascii="Times New Roman" w:hAnsi="Times New Roman"/>
                <w:sz w:val="24"/>
                <w:szCs w:val="24"/>
              </w:rPr>
              <w:t>силиконизированной</w:t>
            </w:r>
            <w:proofErr w:type="spellEnd"/>
            <w:r>
              <w:rPr>
                <w:rFonts w:ascii="Times New Roman" w:hAnsi="Times New Roman"/>
                <w:sz w:val="24"/>
                <w:szCs w:val="24"/>
              </w:rPr>
              <w:t xml:space="preserve"> с обеих сторон и покрытой полиэтиленом с обеих сторон. В 2-х местах края бумаги образуют вырезанные области размером от 1-1,5 см, которые предназначены для облегчения процесса наложения повязки и удаления защитного бумажног</w:t>
            </w:r>
            <w:r>
              <w:rPr>
                <w:rFonts w:ascii="Times New Roman" w:hAnsi="Times New Roman"/>
                <w:sz w:val="24"/>
                <w:szCs w:val="24"/>
              </w:rPr>
              <w:t>о слоя. Повязка готова к использованию, не требует предварительного разрезания.</w:t>
            </w:r>
          </w:p>
        </w:tc>
        <w:tc>
          <w:tcPr>
            <w:tcW w:w="569"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lastRenderedPageBreak/>
              <w:t>шт.</w:t>
            </w:r>
          </w:p>
        </w:tc>
        <w:tc>
          <w:tcPr>
            <w:tcW w:w="636"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500</w:t>
            </w:r>
          </w:p>
        </w:tc>
        <w:tc>
          <w:tcPr>
            <w:tcW w:w="849"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697"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381" w:type="dxa"/>
            <w:tcBorders>
              <w:top w:val="single" w:sz="5" w:space="0" w:color="auto"/>
              <w:left w:val="single" w:sz="5" w:space="0" w:color="auto"/>
              <w:bottom w:val="single" w:sz="5" w:space="0" w:color="auto"/>
              <w:right w:val="single" w:sz="5" w:space="0" w:color="auto"/>
            </w:tcBorders>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60602" w:rsidRPr="00B84F2F" w:rsidRDefault="00B84F2F">
            <w:pPr>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2201"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Повязка на основе полиуретана и гидроколлоидного матрикса тонкая 10 х 10 см</w:t>
            </w:r>
          </w:p>
        </w:tc>
        <w:tc>
          <w:tcPr>
            <w:tcW w:w="3084"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 xml:space="preserve">Стерильная, </w:t>
            </w:r>
            <w:proofErr w:type="gramStart"/>
            <w:r>
              <w:rPr>
                <w:rFonts w:ascii="Times New Roman" w:hAnsi="Times New Roman"/>
                <w:sz w:val="24"/>
                <w:szCs w:val="24"/>
              </w:rPr>
              <w:t>тонкая  раневая</w:t>
            </w:r>
            <w:proofErr w:type="gramEnd"/>
            <w:r>
              <w:rPr>
                <w:rFonts w:ascii="Times New Roman" w:hAnsi="Times New Roman"/>
                <w:sz w:val="24"/>
                <w:szCs w:val="24"/>
              </w:rPr>
              <w:t xml:space="preserve"> повязка. Состоит из внутреннего слоя, соприкасающегося с</w:t>
            </w:r>
            <w:r>
              <w:rPr>
                <w:rFonts w:ascii="Times New Roman" w:hAnsi="Times New Roman"/>
                <w:sz w:val="24"/>
                <w:szCs w:val="24"/>
              </w:rPr>
              <w:t xml:space="preserve"> раной и внешнего слоя полиуретановой пленки. Внутренний слой представлен гидроколлоидным матриксом, который </w:t>
            </w:r>
            <w:proofErr w:type="gramStart"/>
            <w:r>
              <w:rPr>
                <w:rFonts w:ascii="Times New Roman" w:hAnsi="Times New Roman"/>
                <w:sz w:val="24"/>
                <w:szCs w:val="24"/>
              </w:rPr>
              <w:t>расположен  в</w:t>
            </w:r>
            <w:proofErr w:type="gramEnd"/>
            <w:r>
              <w:rPr>
                <w:rFonts w:ascii="Times New Roman" w:hAnsi="Times New Roman"/>
                <w:sz w:val="24"/>
                <w:szCs w:val="24"/>
              </w:rPr>
              <w:t xml:space="preserve"> центре повязки, содержит  желатин, пектин и </w:t>
            </w:r>
            <w:proofErr w:type="spellStart"/>
            <w:r>
              <w:rPr>
                <w:rFonts w:ascii="Times New Roman" w:hAnsi="Times New Roman"/>
                <w:sz w:val="24"/>
                <w:szCs w:val="24"/>
              </w:rPr>
              <w:t>натриий</w:t>
            </w:r>
            <w:proofErr w:type="spellEnd"/>
            <w:r>
              <w:rPr>
                <w:rFonts w:ascii="Times New Roman" w:hAnsi="Times New Roman"/>
                <w:sz w:val="24"/>
                <w:szCs w:val="24"/>
              </w:rPr>
              <w:t xml:space="preserve"> </w:t>
            </w:r>
            <w:proofErr w:type="spellStart"/>
            <w:r>
              <w:rPr>
                <w:rFonts w:ascii="Times New Roman" w:hAnsi="Times New Roman"/>
                <w:sz w:val="24"/>
                <w:szCs w:val="24"/>
              </w:rPr>
              <w:t>карбоксиметилцеллюлозу</w:t>
            </w:r>
            <w:proofErr w:type="spellEnd"/>
            <w:r>
              <w:rPr>
                <w:rFonts w:ascii="Times New Roman" w:hAnsi="Times New Roman"/>
                <w:sz w:val="24"/>
                <w:szCs w:val="24"/>
              </w:rPr>
              <w:t>. Обеспечивает оптимальную температуру от 32,7 до 35,2 0С и</w:t>
            </w:r>
            <w:r>
              <w:rPr>
                <w:rFonts w:ascii="Times New Roman" w:hAnsi="Times New Roman"/>
                <w:sz w:val="24"/>
                <w:szCs w:val="24"/>
              </w:rPr>
              <w:t xml:space="preserve"> уровень </w:t>
            </w:r>
            <w:proofErr w:type="spellStart"/>
            <w:r>
              <w:rPr>
                <w:rFonts w:ascii="Times New Roman" w:hAnsi="Times New Roman"/>
                <w:sz w:val="24"/>
                <w:szCs w:val="24"/>
              </w:rPr>
              <w:t>Ph</w:t>
            </w:r>
            <w:proofErr w:type="spellEnd"/>
            <w:r>
              <w:rPr>
                <w:rFonts w:ascii="Times New Roman" w:hAnsi="Times New Roman"/>
                <w:sz w:val="24"/>
                <w:szCs w:val="24"/>
              </w:rPr>
              <w:t xml:space="preserve"> 6,1 ± 0,5 под раневым покрытием. Размер 10х10 см. Повязка накладывается на срок до 7 дней.</w:t>
            </w:r>
          </w:p>
        </w:tc>
        <w:tc>
          <w:tcPr>
            <w:tcW w:w="569"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шт.</w:t>
            </w:r>
          </w:p>
        </w:tc>
        <w:tc>
          <w:tcPr>
            <w:tcW w:w="636"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150</w:t>
            </w:r>
          </w:p>
        </w:tc>
        <w:tc>
          <w:tcPr>
            <w:tcW w:w="849"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697"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381" w:type="dxa"/>
            <w:tcBorders>
              <w:top w:val="single" w:sz="5" w:space="0" w:color="auto"/>
              <w:left w:val="single" w:sz="5" w:space="0" w:color="auto"/>
              <w:bottom w:val="single" w:sz="5" w:space="0" w:color="auto"/>
              <w:right w:val="single" w:sz="5" w:space="0" w:color="auto"/>
            </w:tcBorders>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F60602" w:rsidRPr="00B84F2F" w:rsidRDefault="00B84F2F">
            <w:pPr>
              <w:jc w:val="center"/>
              <w:rPr>
                <w:rFonts w:ascii="Times New Roman" w:hAnsi="Times New Roman"/>
                <w:sz w:val="24"/>
                <w:szCs w:val="24"/>
                <w:lang w:val="en-US"/>
              </w:rPr>
            </w:pPr>
            <w:r>
              <w:rPr>
                <w:rFonts w:ascii="Times New Roman" w:hAnsi="Times New Roman"/>
                <w:sz w:val="24"/>
                <w:szCs w:val="24"/>
                <w:lang w:val="en-US"/>
              </w:rPr>
              <w:t>3</w:t>
            </w:r>
          </w:p>
        </w:tc>
        <w:tc>
          <w:tcPr>
            <w:tcW w:w="2201"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Повязка самоклеящаяся на рану, 25 х 10 см №25 стерильная</w:t>
            </w:r>
          </w:p>
        </w:tc>
        <w:tc>
          <w:tcPr>
            <w:tcW w:w="3084"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 xml:space="preserve">Самоклеящаяся повязка на рану из мягкого нетканого материала с впитывающей </w:t>
            </w:r>
            <w:r>
              <w:rPr>
                <w:rFonts w:ascii="Times New Roman" w:hAnsi="Times New Roman"/>
                <w:sz w:val="24"/>
                <w:szCs w:val="24"/>
              </w:rPr>
              <w:t xml:space="preserve">подушечкой, </w:t>
            </w:r>
            <w:proofErr w:type="spellStart"/>
            <w:r>
              <w:rPr>
                <w:rFonts w:ascii="Times New Roman" w:hAnsi="Times New Roman"/>
                <w:sz w:val="24"/>
                <w:szCs w:val="24"/>
              </w:rPr>
              <w:t>неприклеивающейся</w:t>
            </w:r>
            <w:proofErr w:type="spellEnd"/>
            <w:r>
              <w:rPr>
                <w:rFonts w:ascii="Times New Roman" w:hAnsi="Times New Roman"/>
                <w:sz w:val="24"/>
                <w:szCs w:val="24"/>
              </w:rPr>
              <w:t xml:space="preserve"> к ране. Основа повязки: нетканый синтетический материал. Раневая подушка: </w:t>
            </w:r>
            <w:proofErr w:type="gramStart"/>
            <w:r>
              <w:rPr>
                <w:rFonts w:ascii="Times New Roman" w:hAnsi="Times New Roman"/>
                <w:sz w:val="24"/>
                <w:szCs w:val="24"/>
              </w:rPr>
              <w:t>абсорбирующая вискоза</w:t>
            </w:r>
            <w:proofErr w:type="gramEnd"/>
            <w:r>
              <w:rPr>
                <w:rFonts w:ascii="Times New Roman" w:hAnsi="Times New Roman"/>
                <w:sz w:val="24"/>
                <w:szCs w:val="24"/>
              </w:rPr>
              <w:t xml:space="preserve"> покрытая микросеткой из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w:t>
            </w:r>
            <w:proofErr w:type="spellStart"/>
            <w:r>
              <w:rPr>
                <w:rFonts w:ascii="Times New Roman" w:hAnsi="Times New Roman"/>
                <w:sz w:val="24"/>
                <w:szCs w:val="24"/>
              </w:rPr>
              <w:t>неприлипающего</w:t>
            </w:r>
            <w:proofErr w:type="spellEnd"/>
            <w:r>
              <w:rPr>
                <w:rFonts w:ascii="Times New Roman" w:hAnsi="Times New Roman"/>
                <w:sz w:val="24"/>
                <w:szCs w:val="24"/>
              </w:rPr>
              <w:t xml:space="preserve"> к ране материала. Клеевая основа: синтетический клей </w:t>
            </w:r>
            <w:proofErr w:type="gramStart"/>
            <w:r>
              <w:rPr>
                <w:rFonts w:ascii="Times New Roman" w:hAnsi="Times New Roman"/>
                <w:sz w:val="24"/>
                <w:szCs w:val="24"/>
              </w:rPr>
              <w:t>на  каучуковой</w:t>
            </w:r>
            <w:proofErr w:type="gramEnd"/>
            <w:r>
              <w:rPr>
                <w:rFonts w:ascii="Times New Roman" w:hAnsi="Times New Roman"/>
                <w:sz w:val="24"/>
                <w:szCs w:val="24"/>
              </w:rPr>
              <w:t xml:space="preserve"> основе, </w:t>
            </w:r>
            <w:r>
              <w:rPr>
                <w:rFonts w:ascii="Times New Roman" w:hAnsi="Times New Roman"/>
                <w:sz w:val="24"/>
                <w:szCs w:val="24"/>
              </w:rPr>
              <w:t xml:space="preserve">не содержит канифоли. </w:t>
            </w:r>
            <w:r>
              <w:rPr>
                <w:rFonts w:ascii="Times New Roman" w:hAnsi="Times New Roman"/>
                <w:sz w:val="24"/>
                <w:szCs w:val="24"/>
              </w:rPr>
              <w:lastRenderedPageBreak/>
              <w:t>Покрытие повязки: покрыта силиконовой бумагой. Вес подушечки на метр2 - минимум 114 г. Впитывающая способность подушки: не менее 1100 г/</w:t>
            </w:r>
            <w:proofErr w:type="spellStart"/>
            <w:r>
              <w:rPr>
                <w:rFonts w:ascii="Times New Roman" w:hAnsi="Times New Roman"/>
                <w:sz w:val="24"/>
                <w:szCs w:val="24"/>
              </w:rPr>
              <w:t>кв.м</w:t>
            </w:r>
            <w:proofErr w:type="spellEnd"/>
            <w:r>
              <w:rPr>
                <w:rFonts w:ascii="Times New Roman" w:hAnsi="Times New Roman"/>
                <w:sz w:val="24"/>
                <w:szCs w:val="24"/>
              </w:rPr>
              <w:t xml:space="preserve">. Общий вес примерно 80 </w:t>
            </w:r>
            <w:proofErr w:type="spellStart"/>
            <w:r>
              <w:rPr>
                <w:rFonts w:ascii="Times New Roman" w:hAnsi="Times New Roman"/>
                <w:sz w:val="24"/>
                <w:szCs w:val="24"/>
              </w:rPr>
              <w:t>гр</w:t>
            </w:r>
            <w:proofErr w:type="spellEnd"/>
            <w:r>
              <w:rPr>
                <w:rFonts w:ascii="Times New Roman" w:hAnsi="Times New Roman"/>
                <w:sz w:val="24"/>
                <w:szCs w:val="24"/>
              </w:rPr>
              <w:t>/</w:t>
            </w:r>
            <w:proofErr w:type="spellStart"/>
            <w:r>
              <w:rPr>
                <w:rFonts w:ascii="Times New Roman" w:hAnsi="Times New Roman"/>
                <w:sz w:val="24"/>
                <w:szCs w:val="24"/>
              </w:rPr>
              <w:t>кв.м.Клеящая</w:t>
            </w:r>
            <w:proofErr w:type="spellEnd"/>
            <w:r>
              <w:rPr>
                <w:rFonts w:ascii="Times New Roman" w:hAnsi="Times New Roman"/>
                <w:sz w:val="24"/>
                <w:szCs w:val="24"/>
              </w:rPr>
              <w:t xml:space="preserve"> сила 18+/-5 Н/25 мм. Стерильная индивидуальная упаковк</w:t>
            </w:r>
            <w:r>
              <w:rPr>
                <w:rFonts w:ascii="Times New Roman" w:hAnsi="Times New Roman"/>
                <w:sz w:val="24"/>
                <w:szCs w:val="24"/>
              </w:rPr>
              <w:t>а каждой повязки. Размер: 25 х 10 см. размер впитывающей подушечки 205 х 55 мм, допускается отклонение +/-10% от указанных размеров. В упаковке 25 штук.</w:t>
            </w:r>
          </w:p>
        </w:tc>
        <w:tc>
          <w:tcPr>
            <w:tcW w:w="569"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636" w:type="dxa"/>
            <w:tcBorders>
              <w:top w:val="single" w:sz="5" w:space="0" w:color="auto"/>
              <w:bottom w:val="single" w:sz="5" w:space="0" w:color="auto"/>
              <w:right w:val="single" w:sz="5" w:space="0" w:color="auto"/>
            </w:tcBorders>
            <w:shd w:val="clear" w:color="FFFFFF" w:fill="auto"/>
          </w:tcPr>
          <w:p w:rsidR="00F60602" w:rsidRDefault="00B84F2F">
            <w:pPr>
              <w:jc w:val="center"/>
              <w:rPr>
                <w:rFonts w:ascii="Times New Roman" w:hAnsi="Times New Roman"/>
                <w:sz w:val="24"/>
                <w:szCs w:val="24"/>
              </w:rPr>
            </w:pPr>
            <w:r>
              <w:rPr>
                <w:rFonts w:ascii="Times New Roman" w:hAnsi="Times New Roman"/>
                <w:sz w:val="24"/>
                <w:szCs w:val="24"/>
              </w:rPr>
              <w:t>50</w:t>
            </w:r>
          </w:p>
        </w:tc>
        <w:tc>
          <w:tcPr>
            <w:tcW w:w="849"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697" w:type="dxa"/>
            <w:tcBorders>
              <w:top w:val="single" w:sz="5" w:space="0" w:color="auto"/>
              <w:bottom w:val="single" w:sz="5" w:space="0" w:color="auto"/>
              <w:right w:val="single" w:sz="5" w:space="0" w:color="auto"/>
            </w:tcBorders>
            <w:shd w:val="clear" w:color="FFFFFF" w:fill="auto"/>
          </w:tcPr>
          <w:p w:rsidR="00F60602" w:rsidRDefault="00F60602">
            <w:pPr>
              <w:jc w:val="center"/>
              <w:rPr>
                <w:rFonts w:ascii="Times New Roman" w:hAnsi="Times New Roman"/>
                <w:sz w:val="24"/>
                <w:szCs w:val="24"/>
              </w:rPr>
            </w:pPr>
          </w:p>
        </w:tc>
        <w:tc>
          <w:tcPr>
            <w:tcW w:w="1381" w:type="dxa"/>
            <w:tcBorders>
              <w:top w:val="single" w:sz="5" w:space="0" w:color="auto"/>
              <w:left w:val="single" w:sz="5" w:space="0" w:color="auto"/>
              <w:bottom w:val="single" w:sz="5" w:space="0" w:color="auto"/>
              <w:right w:val="single" w:sz="5" w:space="0" w:color="auto"/>
            </w:tcBorders>
            <w:shd w:val="clear" w:color="FFFFFF" w:fill="auto"/>
            <w:vAlign w:val="bottom"/>
          </w:tcPr>
          <w:p w:rsidR="00F60602" w:rsidRDefault="00F60602">
            <w:pPr>
              <w:rPr>
                <w:szCs w:val="16"/>
              </w:rPr>
            </w:pPr>
          </w:p>
        </w:tc>
      </w:tr>
      <w:tr w:rsidR="00B84F2F"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B84F2F" w:rsidRPr="00B84F2F" w:rsidRDefault="00B84F2F" w:rsidP="00B84F2F">
            <w:pPr>
              <w:jc w:val="center"/>
              <w:rPr>
                <w:rFonts w:ascii="Times New Roman" w:hAnsi="Times New Roman"/>
                <w:sz w:val="24"/>
                <w:szCs w:val="24"/>
              </w:rPr>
            </w:pPr>
            <w:r>
              <w:rPr>
                <w:rFonts w:ascii="Times New Roman" w:hAnsi="Times New Roman"/>
                <w:sz w:val="24"/>
                <w:szCs w:val="24"/>
              </w:rPr>
              <w:lastRenderedPageBreak/>
              <w:t>4</w:t>
            </w:r>
          </w:p>
        </w:tc>
        <w:tc>
          <w:tcPr>
            <w:tcW w:w="2201"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Повязка антимикробная для фиксации катетеров</w:t>
            </w:r>
          </w:p>
        </w:tc>
        <w:tc>
          <w:tcPr>
            <w:tcW w:w="3084"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roofErr w:type="spellStart"/>
            <w:r>
              <w:rPr>
                <w:rFonts w:ascii="Times New Roman" w:hAnsi="Times New Roman"/>
                <w:sz w:val="24"/>
                <w:szCs w:val="24"/>
              </w:rPr>
              <w:t>Tegaderm</w:t>
            </w:r>
            <w:proofErr w:type="spellEnd"/>
            <w:r>
              <w:rPr>
                <w:rFonts w:ascii="Times New Roman" w:hAnsi="Times New Roman"/>
                <w:sz w:val="24"/>
                <w:szCs w:val="24"/>
              </w:rPr>
              <w:t xml:space="preserve"> CHG - пленочная прозрачная наклейка для фиксации катетеров с </w:t>
            </w:r>
            <w:proofErr w:type="spellStart"/>
            <w:r>
              <w:rPr>
                <w:rFonts w:ascii="Times New Roman" w:hAnsi="Times New Roman"/>
                <w:sz w:val="24"/>
                <w:szCs w:val="24"/>
              </w:rPr>
              <w:t>хлоргексидином</w:t>
            </w:r>
            <w:proofErr w:type="spellEnd"/>
            <w:r>
              <w:rPr>
                <w:rFonts w:ascii="Times New Roman" w:hAnsi="Times New Roman"/>
                <w:sz w:val="24"/>
                <w:szCs w:val="24"/>
              </w:rPr>
              <w:t xml:space="preserve"> 7 х 8.5 см. Сочетает в себе эффективную антимикробную защиту </w:t>
            </w:r>
            <w:proofErr w:type="spellStart"/>
            <w:r>
              <w:rPr>
                <w:rFonts w:ascii="Times New Roman" w:hAnsi="Times New Roman"/>
                <w:sz w:val="24"/>
                <w:szCs w:val="24"/>
              </w:rPr>
              <w:t>хлоргексидина</w:t>
            </w:r>
            <w:proofErr w:type="spellEnd"/>
            <w:r>
              <w:rPr>
                <w:rFonts w:ascii="Times New Roman" w:hAnsi="Times New Roman"/>
                <w:sz w:val="24"/>
                <w:szCs w:val="24"/>
              </w:rPr>
              <w:t xml:space="preserve"> глюконата и доказанную барьерную функцию пленки </w:t>
            </w:r>
            <w:proofErr w:type="spellStart"/>
            <w:r>
              <w:rPr>
                <w:rFonts w:ascii="Times New Roman" w:hAnsi="Times New Roman"/>
                <w:sz w:val="24"/>
                <w:szCs w:val="24"/>
              </w:rPr>
              <w:t>Tegaderm</w:t>
            </w:r>
            <w:proofErr w:type="spellEnd"/>
            <w:r>
              <w:rPr>
                <w:rFonts w:ascii="Times New Roman" w:hAnsi="Times New Roman"/>
                <w:sz w:val="24"/>
                <w:szCs w:val="24"/>
              </w:rPr>
              <w:t xml:space="preserve"> полностью соответствует современным российским, международным клиническим рекомендациям и ГОСТам. Соответствует требованием </w:t>
            </w:r>
            <w:proofErr w:type="spellStart"/>
            <w:r>
              <w:rPr>
                <w:rFonts w:ascii="Times New Roman" w:hAnsi="Times New Roman"/>
                <w:sz w:val="24"/>
                <w:szCs w:val="24"/>
              </w:rPr>
              <w:t>СанПин</w:t>
            </w:r>
            <w:proofErr w:type="spellEnd"/>
            <w:r>
              <w:rPr>
                <w:rFonts w:ascii="Times New Roman" w:hAnsi="Times New Roman"/>
                <w:sz w:val="24"/>
                <w:szCs w:val="24"/>
              </w:rPr>
              <w:t xml:space="preserve"> 2630-10. Стерильная повязка </w:t>
            </w:r>
            <w:proofErr w:type="spellStart"/>
            <w:r>
              <w:rPr>
                <w:rFonts w:ascii="Times New Roman" w:hAnsi="Times New Roman"/>
                <w:sz w:val="24"/>
                <w:szCs w:val="24"/>
              </w:rPr>
              <w:t>Tegaderm</w:t>
            </w:r>
            <w:proofErr w:type="spellEnd"/>
            <w:r>
              <w:rPr>
                <w:rFonts w:ascii="Times New Roman" w:hAnsi="Times New Roman"/>
                <w:sz w:val="24"/>
                <w:szCs w:val="24"/>
              </w:rPr>
              <w:t xml:space="preserve"> CHG осуществляет комбинированную защиту: подавляет рост кожной микрофлоры пациента и обеспечивает барьерную функцию, защищает от микроорганизмов из внешней среды. Осуществляет антимикробную активность широкого спектра действия против микроорганизмов, вызывающих КАИК (катетер ассоциированные инфекции кровотока). Продуманный дизайн наклейки оптимально подходит для наложения, минимизирует вероятность ошибки, позволяет соблюсти асептику. Впитывающая структура глеевой подушечки снижают частоту смены повязки. Снижение частоты смещения катетера обеспечивается за счёт удобного выреза и усиленной пластырной окантовки. В комплект повязки входят дополнительные пластырные полоски для фиксации линий катетера и указания даты. Стерильная, водонепроницаемая, дышащая пленка обеспечивает непроницаемый барьер для жидкостей, бактерий и вирусов. Рекомендуемые области применения: Центральные венозные катетеры (ЦВК) различной локализации, Внутренняя яремная вена, Подключичная вена, Бедренная вена, </w:t>
            </w:r>
            <w:proofErr w:type="gramStart"/>
            <w:r>
              <w:rPr>
                <w:rFonts w:ascii="Times New Roman" w:hAnsi="Times New Roman"/>
                <w:sz w:val="24"/>
                <w:szCs w:val="24"/>
              </w:rPr>
              <w:t>Периферически</w:t>
            </w:r>
            <w:proofErr w:type="gramEnd"/>
            <w:r>
              <w:rPr>
                <w:rFonts w:ascii="Times New Roman" w:hAnsi="Times New Roman"/>
                <w:sz w:val="24"/>
                <w:szCs w:val="24"/>
              </w:rPr>
              <w:t xml:space="preserve"> вводимые центральные венозные катетеры (PICC), Туннелируемые центральные катетеры, Катетеры для </w:t>
            </w:r>
            <w:proofErr w:type="spellStart"/>
            <w:r>
              <w:rPr>
                <w:rFonts w:ascii="Times New Roman" w:hAnsi="Times New Roman"/>
                <w:sz w:val="24"/>
                <w:szCs w:val="24"/>
              </w:rPr>
              <w:t>перитонеального</w:t>
            </w:r>
            <w:proofErr w:type="spellEnd"/>
            <w:r>
              <w:rPr>
                <w:rFonts w:ascii="Times New Roman" w:hAnsi="Times New Roman"/>
                <w:sz w:val="24"/>
                <w:szCs w:val="24"/>
              </w:rPr>
              <w:t xml:space="preserve"> диализа, </w:t>
            </w:r>
            <w:proofErr w:type="spellStart"/>
            <w:r>
              <w:rPr>
                <w:rFonts w:ascii="Times New Roman" w:hAnsi="Times New Roman"/>
                <w:sz w:val="24"/>
                <w:szCs w:val="24"/>
              </w:rPr>
              <w:t>Гемодиализные</w:t>
            </w:r>
            <w:proofErr w:type="spellEnd"/>
            <w:r>
              <w:rPr>
                <w:rFonts w:ascii="Times New Roman" w:hAnsi="Times New Roman"/>
                <w:sz w:val="24"/>
                <w:szCs w:val="24"/>
              </w:rPr>
              <w:t xml:space="preserve"> катетеры, Артериальные катетеры. Рекомендуемая частота замены повязки: 1 раз в 7 суток. Комплектация: 25 штук в упаковке.</w:t>
            </w:r>
            <w:r>
              <w:rPr>
                <w:rFonts w:ascii="Times New Roman" w:hAnsi="Times New Roman"/>
                <w:sz w:val="24"/>
                <w:szCs w:val="24"/>
              </w:rPr>
              <w:br/>
            </w:r>
          </w:p>
        </w:tc>
        <w:tc>
          <w:tcPr>
            <w:tcW w:w="569"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636"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1</w:t>
            </w:r>
          </w:p>
        </w:tc>
        <w:tc>
          <w:tcPr>
            <w:tcW w:w="849"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
        </w:tc>
        <w:tc>
          <w:tcPr>
            <w:tcW w:w="1697"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
        </w:tc>
        <w:tc>
          <w:tcPr>
            <w:tcW w:w="1381" w:type="dxa"/>
            <w:tcBorders>
              <w:top w:val="single" w:sz="5" w:space="0" w:color="auto"/>
              <w:left w:val="single" w:sz="5" w:space="0" w:color="auto"/>
              <w:bottom w:val="single" w:sz="5" w:space="0" w:color="auto"/>
              <w:right w:val="single" w:sz="5" w:space="0" w:color="auto"/>
            </w:tcBorders>
            <w:shd w:val="clear" w:color="FFFFFF" w:fill="auto"/>
            <w:vAlign w:val="bottom"/>
          </w:tcPr>
          <w:p w:rsidR="00B84F2F" w:rsidRDefault="00B84F2F" w:rsidP="00B84F2F">
            <w:pPr>
              <w:rPr>
                <w:szCs w:val="16"/>
              </w:rPr>
            </w:pPr>
          </w:p>
        </w:tc>
      </w:tr>
      <w:tr w:rsidR="00B84F2F" w:rsidTr="00B84F2F">
        <w:tblPrEx>
          <w:tblCellMar>
            <w:top w:w="0" w:type="dxa"/>
            <w:left w:w="0" w:type="dxa"/>
            <w:bottom w:w="0" w:type="dxa"/>
            <w:right w:w="0" w:type="dxa"/>
          </w:tblCellMar>
        </w:tblPrEx>
        <w:trPr>
          <w:trHeight w:val="60"/>
        </w:trPr>
        <w:tc>
          <w:tcPr>
            <w:tcW w:w="356" w:type="dxa"/>
            <w:tcBorders>
              <w:top w:val="single" w:sz="5" w:space="0" w:color="auto"/>
              <w:left w:val="single" w:sz="5" w:space="0" w:color="auto"/>
              <w:bottom w:val="single" w:sz="5" w:space="0" w:color="auto"/>
              <w:right w:val="single" w:sz="5" w:space="0" w:color="auto"/>
            </w:tcBorders>
            <w:shd w:val="clear" w:color="FFFFFF" w:fill="auto"/>
          </w:tcPr>
          <w:p w:rsidR="00B84F2F" w:rsidRPr="00B84F2F" w:rsidRDefault="00B84F2F" w:rsidP="00B84F2F">
            <w:pPr>
              <w:jc w:val="center"/>
              <w:rPr>
                <w:rFonts w:ascii="Times New Roman" w:hAnsi="Times New Roman"/>
                <w:sz w:val="24"/>
                <w:szCs w:val="24"/>
              </w:rPr>
            </w:pPr>
            <w:r>
              <w:rPr>
                <w:rFonts w:ascii="Times New Roman" w:hAnsi="Times New Roman"/>
                <w:sz w:val="24"/>
                <w:szCs w:val="24"/>
              </w:rPr>
              <w:t>5</w:t>
            </w:r>
          </w:p>
        </w:tc>
        <w:tc>
          <w:tcPr>
            <w:tcW w:w="2201"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Повязка гидроколлоидная 10 х 10 см</w:t>
            </w:r>
          </w:p>
        </w:tc>
        <w:tc>
          <w:tcPr>
            <w:tcW w:w="3084"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 xml:space="preserve">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w:t>
            </w:r>
            <w:proofErr w:type="spellStart"/>
            <w:r>
              <w:rPr>
                <w:rFonts w:ascii="Times New Roman" w:hAnsi="Times New Roman"/>
                <w:sz w:val="24"/>
                <w:szCs w:val="24"/>
              </w:rPr>
              <w:t>карбоксиметилцеллюлозы</w:t>
            </w:r>
            <w:proofErr w:type="spellEnd"/>
            <w:r>
              <w:rPr>
                <w:rFonts w:ascii="Times New Roman" w:hAnsi="Times New Roman"/>
                <w:sz w:val="24"/>
                <w:szCs w:val="24"/>
              </w:rPr>
              <w:t xml:space="preserve">. Материал не содержит компоненты животного происхождения. Впитывающая способность (24 ч): мин. 1,4 г/10см2. Величина </w:t>
            </w:r>
            <w:proofErr w:type="spellStart"/>
            <w:r>
              <w:rPr>
                <w:rFonts w:ascii="Times New Roman" w:hAnsi="Times New Roman"/>
                <w:sz w:val="24"/>
                <w:szCs w:val="24"/>
              </w:rPr>
              <w:t>pH</w:t>
            </w:r>
            <w:proofErr w:type="spellEnd"/>
            <w:r>
              <w:rPr>
                <w:rFonts w:ascii="Times New Roman" w:hAnsi="Times New Roman"/>
                <w:sz w:val="24"/>
                <w:szCs w:val="24"/>
              </w:rPr>
              <w:t>: 4 - 8. Индивидуальная упаковка каждой повязки. Размер 10 х 10 см.</w:t>
            </w:r>
          </w:p>
        </w:tc>
        <w:tc>
          <w:tcPr>
            <w:tcW w:w="569"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шт.</w:t>
            </w:r>
          </w:p>
        </w:tc>
        <w:tc>
          <w:tcPr>
            <w:tcW w:w="636"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r>
              <w:rPr>
                <w:rFonts w:ascii="Times New Roman" w:hAnsi="Times New Roman"/>
                <w:sz w:val="24"/>
                <w:szCs w:val="24"/>
              </w:rPr>
              <w:t>400</w:t>
            </w:r>
          </w:p>
        </w:tc>
        <w:tc>
          <w:tcPr>
            <w:tcW w:w="849"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
        </w:tc>
        <w:tc>
          <w:tcPr>
            <w:tcW w:w="1697" w:type="dxa"/>
            <w:tcBorders>
              <w:top w:val="single" w:sz="5" w:space="0" w:color="auto"/>
              <w:bottom w:val="single" w:sz="5" w:space="0" w:color="auto"/>
              <w:right w:val="single" w:sz="5" w:space="0" w:color="auto"/>
            </w:tcBorders>
            <w:shd w:val="clear" w:color="FFFFFF" w:fill="auto"/>
          </w:tcPr>
          <w:p w:rsidR="00B84F2F" w:rsidRDefault="00B84F2F" w:rsidP="00B84F2F">
            <w:pPr>
              <w:jc w:val="center"/>
              <w:rPr>
                <w:rFonts w:ascii="Times New Roman" w:hAnsi="Times New Roman"/>
                <w:sz w:val="24"/>
                <w:szCs w:val="24"/>
              </w:rPr>
            </w:pPr>
          </w:p>
        </w:tc>
        <w:tc>
          <w:tcPr>
            <w:tcW w:w="1381" w:type="dxa"/>
            <w:tcBorders>
              <w:top w:val="single" w:sz="5" w:space="0" w:color="auto"/>
              <w:left w:val="single" w:sz="5" w:space="0" w:color="auto"/>
              <w:bottom w:val="single" w:sz="5" w:space="0" w:color="auto"/>
              <w:right w:val="single" w:sz="5" w:space="0" w:color="auto"/>
            </w:tcBorders>
            <w:shd w:val="clear" w:color="FFFFFF" w:fill="auto"/>
            <w:vAlign w:val="bottom"/>
          </w:tcPr>
          <w:p w:rsidR="00B84F2F" w:rsidRDefault="00B84F2F" w:rsidP="00B84F2F">
            <w:pPr>
              <w:rPr>
                <w:szCs w:val="16"/>
              </w:rPr>
            </w:pPr>
          </w:p>
        </w:tc>
      </w:tr>
      <w:tr w:rsidR="00F60602" w:rsidTr="00B84F2F">
        <w:tblPrEx>
          <w:tblCellMar>
            <w:top w:w="0" w:type="dxa"/>
            <w:left w:w="0" w:type="dxa"/>
            <w:bottom w:w="0" w:type="dxa"/>
            <w:right w:w="0" w:type="dxa"/>
          </w:tblCellMar>
        </w:tblPrEx>
        <w:trPr>
          <w:trHeight w:val="375"/>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rsidP="00B84F2F">
            <w:pPr>
              <w:rPr>
                <w:rFonts w:ascii="Times New Roman" w:hAnsi="Times New Roman"/>
                <w:sz w:val="28"/>
                <w:szCs w:val="28"/>
              </w:rPr>
            </w:pPr>
            <w:r>
              <w:rPr>
                <w:rFonts w:ascii="Times New Roman" w:hAnsi="Times New Roman"/>
                <w:sz w:val="28"/>
                <w:szCs w:val="28"/>
              </w:rPr>
              <w:t xml:space="preserve">Срок поставки: не более </w:t>
            </w:r>
            <w:r w:rsidRPr="00B84F2F">
              <w:rPr>
                <w:rFonts w:ascii="Times New Roman" w:hAnsi="Times New Roman"/>
                <w:sz w:val="28"/>
                <w:szCs w:val="28"/>
              </w:rPr>
              <w:t>1</w:t>
            </w:r>
            <w:r>
              <w:rPr>
                <w:rFonts w:ascii="Times New Roman" w:hAnsi="Times New Roman"/>
                <w:sz w:val="28"/>
                <w:szCs w:val="28"/>
              </w:rPr>
              <w:t xml:space="preserve">0 календарных дней с момента заключения </w:t>
            </w:r>
            <w:r>
              <w:rPr>
                <w:rFonts w:ascii="Times New Roman" w:hAnsi="Times New Roman"/>
                <w:sz w:val="28"/>
                <w:szCs w:val="28"/>
              </w:rPr>
              <w:t>контракта.</w:t>
            </w:r>
          </w:p>
        </w:tc>
      </w:tr>
      <w:tr w:rsidR="00F60602" w:rsidTr="00B84F2F">
        <w:tblPrEx>
          <w:tblCellMar>
            <w:top w:w="0" w:type="dxa"/>
            <w:left w:w="0" w:type="dxa"/>
            <w:bottom w:w="0" w:type="dxa"/>
            <w:right w:w="0" w:type="dxa"/>
          </w:tblCellMar>
        </w:tblPrEx>
        <w:trPr>
          <w:trHeight w:val="120"/>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F60602" w:rsidTr="00B84F2F">
        <w:tblPrEx>
          <w:tblCellMar>
            <w:top w:w="0" w:type="dxa"/>
            <w:left w:w="0" w:type="dxa"/>
            <w:bottom w:w="0" w:type="dxa"/>
            <w:right w:w="0" w:type="dxa"/>
          </w:tblCellMar>
        </w:tblPrEx>
        <w:trPr>
          <w:trHeight w:val="120"/>
        </w:trPr>
        <w:tc>
          <w:tcPr>
            <w:tcW w:w="356" w:type="dxa"/>
            <w:shd w:val="clear" w:color="FFFFFF" w:fill="auto"/>
            <w:vAlign w:val="bottom"/>
          </w:tcPr>
          <w:p w:rsidR="00F60602" w:rsidRDefault="00F60602">
            <w:pPr>
              <w:rPr>
                <w:rFonts w:ascii="Times New Roman" w:hAnsi="Times New Roman"/>
                <w:sz w:val="28"/>
                <w:szCs w:val="28"/>
              </w:rPr>
            </w:pPr>
          </w:p>
        </w:tc>
        <w:tc>
          <w:tcPr>
            <w:tcW w:w="2201" w:type="dxa"/>
            <w:shd w:val="clear" w:color="FFFFFF" w:fill="auto"/>
            <w:vAlign w:val="bottom"/>
          </w:tcPr>
          <w:p w:rsidR="00F60602" w:rsidRDefault="00F60602">
            <w:pPr>
              <w:rPr>
                <w:rFonts w:ascii="Times New Roman" w:hAnsi="Times New Roman"/>
                <w:sz w:val="28"/>
                <w:szCs w:val="28"/>
              </w:rPr>
            </w:pPr>
          </w:p>
        </w:tc>
        <w:tc>
          <w:tcPr>
            <w:tcW w:w="3084" w:type="dxa"/>
            <w:shd w:val="clear" w:color="FFFFFF" w:fill="auto"/>
            <w:vAlign w:val="bottom"/>
          </w:tcPr>
          <w:p w:rsidR="00F60602" w:rsidRDefault="00F60602">
            <w:pPr>
              <w:rPr>
                <w:rFonts w:ascii="Times New Roman" w:hAnsi="Times New Roman"/>
                <w:sz w:val="28"/>
                <w:szCs w:val="28"/>
              </w:rPr>
            </w:pPr>
          </w:p>
        </w:tc>
        <w:tc>
          <w:tcPr>
            <w:tcW w:w="569" w:type="dxa"/>
            <w:shd w:val="clear" w:color="FFFFFF" w:fill="auto"/>
            <w:vAlign w:val="bottom"/>
          </w:tcPr>
          <w:p w:rsidR="00F60602" w:rsidRDefault="00F60602">
            <w:pPr>
              <w:rPr>
                <w:rFonts w:ascii="Times New Roman" w:hAnsi="Times New Roman"/>
                <w:sz w:val="28"/>
                <w:szCs w:val="28"/>
              </w:rPr>
            </w:pPr>
          </w:p>
        </w:tc>
        <w:tc>
          <w:tcPr>
            <w:tcW w:w="636" w:type="dxa"/>
            <w:shd w:val="clear" w:color="FFFFFF" w:fill="auto"/>
            <w:vAlign w:val="bottom"/>
          </w:tcPr>
          <w:p w:rsidR="00F60602" w:rsidRDefault="00F60602">
            <w:pPr>
              <w:rPr>
                <w:rFonts w:ascii="Times New Roman" w:hAnsi="Times New Roman"/>
                <w:sz w:val="28"/>
                <w:szCs w:val="28"/>
              </w:rPr>
            </w:pPr>
          </w:p>
        </w:tc>
        <w:tc>
          <w:tcPr>
            <w:tcW w:w="849" w:type="dxa"/>
            <w:shd w:val="clear" w:color="FFFFFF" w:fill="auto"/>
            <w:vAlign w:val="bottom"/>
          </w:tcPr>
          <w:p w:rsidR="00F60602" w:rsidRDefault="00F60602">
            <w:pPr>
              <w:rPr>
                <w:rFonts w:ascii="Times New Roman" w:hAnsi="Times New Roman"/>
                <w:sz w:val="28"/>
                <w:szCs w:val="28"/>
              </w:rPr>
            </w:pPr>
          </w:p>
        </w:tc>
        <w:tc>
          <w:tcPr>
            <w:tcW w:w="1697" w:type="dxa"/>
            <w:shd w:val="clear" w:color="FFFFFF" w:fill="auto"/>
            <w:vAlign w:val="bottom"/>
          </w:tcPr>
          <w:p w:rsidR="00F60602" w:rsidRDefault="00F60602">
            <w:pPr>
              <w:rPr>
                <w:rFonts w:ascii="Times New Roman" w:hAnsi="Times New Roman"/>
                <w:sz w:val="28"/>
                <w:szCs w:val="28"/>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w:t>
            </w:r>
            <w:r>
              <w:rPr>
                <w:rFonts w:ascii="Times New Roman" w:hAnsi="Times New Roman"/>
                <w:sz w:val="28"/>
                <w:szCs w:val="28"/>
              </w:rPr>
              <w:t>3-б, отдел обеспечения государственных закупок, тел. 220-16-04</w:t>
            </w:r>
          </w:p>
        </w:tc>
      </w:tr>
      <w:tr w:rsidR="00F60602" w:rsidTr="00B84F2F">
        <w:tblPrEx>
          <w:tblCellMar>
            <w:top w:w="0" w:type="dxa"/>
            <w:left w:w="0" w:type="dxa"/>
            <w:bottom w:w="0" w:type="dxa"/>
            <w:right w:w="0" w:type="dxa"/>
          </w:tblCellMar>
        </w:tblPrEx>
        <w:trPr>
          <w:trHeight w:val="165"/>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rsidP="00B84F2F">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Pr="00B84F2F">
              <w:rPr>
                <w:rFonts w:ascii="Times New Roman" w:hAnsi="Times New Roman"/>
                <w:sz w:val="28"/>
                <w:szCs w:val="28"/>
              </w:rPr>
              <w:t>22</w:t>
            </w:r>
            <w:r>
              <w:rPr>
                <w:rFonts w:ascii="Times New Roman" w:hAnsi="Times New Roman"/>
                <w:sz w:val="28"/>
                <w:szCs w:val="28"/>
              </w:rPr>
              <w:t>.</w:t>
            </w:r>
            <w:r w:rsidRPr="00B84F2F">
              <w:rPr>
                <w:rFonts w:ascii="Times New Roman" w:hAnsi="Times New Roman"/>
                <w:sz w:val="28"/>
                <w:szCs w:val="28"/>
              </w:rPr>
              <w:t>12</w:t>
            </w:r>
            <w:r>
              <w:rPr>
                <w:rFonts w:ascii="Times New Roman" w:hAnsi="Times New Roman"/>
                <w:sz w:val="28"/>
                <w:szCs w:val="28"/>
              </w:rPr>
              <w:t>.</w:t>
            </w:r>
            <w:r w:rsidRPr="00B84F2F">
              <w:rPr>
                <w:rFonts w:ascii="Times New Roman" w:hAnsi="Times New Roman"/>
                <w:sz w:val="28"/>
                <w:szCs w:val="28"/>
              </w:rPr>
              <w:t>2020</w:t>
            </w:r>
            <w:r>
              <w:rPr>
                <w:rFonts w:ascii="Times New Roman" w:hAnsi="Times New Roman"/>
                <w:sz w:val="28"/>
                <w:szCs w:val="28"/>
              </w:rPr>
              <w:t xml:space="preserve"> г.</w:t>
            </w:r>
            <w:r>
              <w:rPr>
                <w:rFonts w:ascii="Times New Roman" w:hAnsi="Times New Roman"/>
                <w:sz w:val="28"/>
                <w:szCs w:val="28"/>
              </w:rPr>
              <w:t xml:space="preserve"> 17:00:00 по местному времени.</w:t>
            </w: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10773" w:type="dxa"/>
            <w:gridSpan w:val="8"/>
            <w:shd w:val="clear" w:color="FFFFFF" w:fill="auto"/>
            <w:vAlign w:val="bottom"/>
          </w:tcPr>
          <w:p w:rsidR="00F60602" w:rsidRDefault="00B84F2F">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r w:rsidR="00F60602" w:rsidTr="00B84F2F">
        <w:tblPrEx>
          <w:tblCellMar>
            <w:top w:w="0" w:type="dxa"/>
            <w:left w:w="0" w:type="dxa"/>
            <w:bottom w:w="0" w:type="dxa"/>
            <w:right w:w="0" w:type="dxa"/>
          </w:tblCellMar>
        </w:tblPrEx>
        <w:trPr>
          <w:trHeight w:val="60"/>
        </w:trPr>
        <w:tc>
          <w:tcPr>
            <w:tcW w:w="356" w:type="dxa"/>
            <w:shd w:val="clear" w:color="FFFFFF" w:fill="auto"/>
            <w:vAlign w:val="bottom"/>
          </w:tcPr>
          <w:p w:rsidR="00F60602" w:rsidRDefault="00F60602">
            <w:pPr>
              <w:rPr>
                <w:szCs w:val="16"/>
              </w:rPr>
            </w:pPr>
          </w:p>
        </w:tc>
        <w:tc>
          <w:tcPr>
            <w:tcW w:w="2201" w:type="dxa"/>
            <w:shd w:val="clear" w:color="FFFFFF" w:fill="auto"/>
            <w:vAlign w:val="bottom"/>
          </w:tcPr>
          <w:p w:rsidR="00F60602" w:rsidRDefault="00F60602">
            <w:pPr>
              <w:rPr>
                <w:szCs w:val="16"/>
              </w:rPr>
            </w:pPr>
          </w:p>
        </w:tc>
        <w:tc>
          <w:tcPr>
            <w:tcW w:w="3084" w:type="dxa"/>
            <w:shd w:val="clear" w:color="FFFFFF" w:fill="auto"/>
            <w:vAlign w:val="bottom"/>
          </w:tcPr>
          <w:p w:rsidR="00F60602" w:rsidRDefault="00F60602">
            <w:pPr>
              <w:rPr>
                <w:szCs w:val="16"/>
              </w:rPr>
            </w:pPr>
          </w:p>
        </w:tc>
        <w:tc>
          <w:tcPr>
            <w:tcW w:w="569" w:type="dxa"/>
            <w:shd w:val="clear" w:color="FFFFFF" w:fill="auto"/>
            <w:vAlign w:val="bottom"/>
          </w:tcPr>
          <w:p w:rsidR="00F60602" w:rsidRDefault="00F60602">
            <w:pPr>
              <w:rPr>
                <w:szCs w:val="16"/>
              </w:rPr>
            </w:pPr>
          </w:p>
        </w:tc>
        <w:tc>
          <w:tcPr>
            <w:tcW w:w="636" w:type="dxa"/>
            <w:shd w:val="clear" w:color="FFFFFF" w:fill="auto"/>
            <w:vAlign w:val="bottom"/>
          </w:tcPr>
          <w:p w:rsidR="00F60602" w:rsidRDefault="00F60602">
            <w:pPr>
              <w:rPr>
                <w:szCs w:val="16"/>
              </w:rPr>
            </w:pPr>
          </w:p>
        </w:tc>
        <w:tc>
          <w:tcPr>
            <w:tcW w:w="849" w:type="dxa"/>
            <w:shd w:val="clear" w:color="FFFFFF" w:fill="auto"/>
            <w:vAlign w:val="bottom"/>
          </w:tcPr>
          <w:p w:rsidR="00F60602" w:rsidRDefault="00F60602">
            <w:pPr>
              <w:rPr>
                <w:szCs w:val="16"/>
              </w:rPr>
            </w:pPr>
          </w:p>
        </w:tc>
        <w:tc>
          <w:tcPr>
            <w:tcW w:w="1697" w:type="dxa"/>
            <w:shd w:val="clear" w:color="FFFFFF" w:fill="auto"/>
            <w:vAlign w:val="bottom"/>
          </w:tcPr>
          <w:p w:rsidR="00F60602" w:rsidRDefault="00F60602">
            <w:pPr>
              <w:rPr>
                <w:szCs w:val="16"/>
              </w:rPr>
            </w:pPr>
          </w:p>
        </w:tc>
        <w:tc>
          <w:tcPr>
            <w:tcW w:w="1381" w:type="dxa"/>
            <w:shd w:val="clear" w:color="FFFFFF" w:fill="auto"/>
            <w:vAlign w:val="bottom"/>
          </w:tcPr>
          <w:p w:rsidR="00F60602" w:rsidRDefault="00F60602">
            <w:pPr>
              <w:rPr>
                <w:szCs w:val="16"/>
              </w:rPr>
            </w:pPr>
          </w:p>
        </w:tc>
      </w:tr>
    </w:tbl>
    <w:p w:rsidR="00000000" w:rsidRDefault="00B84F2F">
      <w:r>
        <w:rPr>
          <w:rFonts w:ascii="Times New Roman" w:hAnsi="Times New Roman"/>
          <w:sz w:val="28"/>
          <w:szCs w:val="28"/>
        </w:rPr>
        <w:t>.</w:t>
      </w:r>
    </w:p>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F60602"/>
    <w:rsid w:val="00B84F2F"/>
    <w:rsid w:val="00F6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E7B4A-C776-4F95-8F73-17C83534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Тарасенко Лариса Александровна</cp:lastModifiedBy>
  <cp:revision>2</cp:revision>
  <dcterms:created xsi:type="dcterms:W3CDTF">2020-12-21T08:49:00Z</dcterms:created>
  <dcterms:modified xsi:type="dcterms:W3CDTF">2020-12-21T08:54:00Z</dcterms:modified>
</cp:coreProperties>
</file>