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2202"/>
        <w:gridCol w:w="3627"/>
        <w:gridCol w:w="432"/>
        <w:gridCol w:w="594"/>
        <w:gridCol w:w="765"/>
        <w:gridCol w:w="1552"/>
        <w:gridCol w:w="1263"/>
      </w:tblGrid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61" w:type="dxa"/>
            <w:gridSpan w:val="3"/>
            <w:shd w:val="clear" w:color="FFFFFF" w:fill="auto"/>
            <w:vAlign w:val="bottom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shd w:val="clear" w:color="FFFFFF" w:fill="auto"/>
            <w:vAlign w:val="bottom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61" w:type="dxa"/>
            <w:gridSpan w:val="3"/>
            <w:shd w:val="clear" w:color="FFFFFF" w:fill="auto"/>
            <w:vAlign w:val="bottom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61" w:type="dxa"/>
            <w:gridSpan w:val="3"/>
            <w:shd w:val="clear" w:color="FFFFFF" w:fill="auto"/>
            <w:vAlign w:val="bottom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61" w:type="dxa"/>
            <w:gridSpan w:val="3"/>
            <w:shd w:val="clear" w:color="FFFFFF" w:fill="auto"/>
            <w:vAlign w:val="bottom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61" w:type="dxa"/>
            <w:gridSpan w:val="3"/>
            <w:shd w:val="clear" w:color="FFFFFF" w:fill="auto"/>
            <w:vAlign w:val="bottom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RPr="00741BE5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61" w:type="dxa"/>
            <w:gridSpan w:val="3"/>
            <w:shd w:val="clear" w:color="FFFFFF" w:fill="auto"/>
            <w:vAlign w:val="bottom"/>
          </w:tcPr>
          <w:p w:rsidR="00297384" w:rsidRPr="00741BE5" w:rsidRDefault="00BA6B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4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41BE5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74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41BE5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4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41BE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32" w:type="dxa"/>
            <w:shd w:val="clear" w:color="FFFFFF" w:fill="auto"/>
            <w:vAlign w:val="bottom"/>
          </w:tcPr>
          <w:p w:rsidR="00297384" w:rsidRPr="00741BE5" w:rsidRDefault="002973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Pr="00741BE5" w:rsidRDefault="002973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Pr="00741BE5" w:rsidRDefault="002973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Pr="00741BE5" w:rsidRDefault="002973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Pr="00741BE5" w:rsidRDefault="00297384">
            <w:pPr>
              <w:rPr>
                <w:szCs w:val="16"/>
                <w:lang w:val="en-US"/>
              </w:rPr>
            </w:pPr>
          </w:p>
        </w:tc>
      </w:tr>
      <w:tr w:rsidR="00297384" w:rsidRPr="00741BE5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61" w:type="dxa"/>
            <w:gridSpan w:val="3"/>
            <w:shd w:val="clear" w:color="FFFFFF" w:fill="auto"/>
            <w:vAlign w:val="bottom"/>
          </w:tcPr>
          <w:p w:rsidR="00297384" w:rsidRPr="00741BE5" w:rsidRDefault="00BA6B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BE5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Pr="00741BE5" w:rsidRDefault="002973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Pr="00741BE5" w:rsidRDefault="002973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Pr="00741BE5" w:rsidRDefault="002973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Pr="00741BE5" w:rsidRDefault="002973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Pr="00741BE5" w:rsidRDefault="00297384">
            <w:pPr>
              <w:rPr>
                <w:szCs w:val="16"/>
                <w:lang w:val="en-US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61" w:type="dxa"/>
            <w:gridSpan w:val="3"/>
            <w:shd w:val="clear" w:color="FFFFFF" w:fill="auto"/>
            <w:vAlign w:val="bottom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61" w:type="dxa"/>
            <w:gridSpan w:val="3"/>
            <w:shd w:val="clear" w:color="FFFFFF" w:fill="auto"/>
            <w:vAlign w:val="bottom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61" w:type="dxa"/>
            <w:gridSpan w:val="3"/>
            <w:shd w:val="clear" w:color="FFFFFF" w:fill="auto"/>
            <w:vAlign w:val="bottom"/>
          </w:tcPr>
          <w:p w:rsidR="00297384" w:rsidRDefault="00741BE5" w:rsidP="0074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</w:t>
            </w:r>
            <w:r w:rsidR="00BA6B5C">
              <w:rPr>
                <w:rFonts w:ascii="Times New Roman" w:hAnsi="Times New Roman"/>
                <w:sz w:val="24"/>
                <w:szCs w:val="24"/>
              </w:rPr>
              <w:t>2</w:t>
            </w:r>
            <w:r w:rsidR="00BA6B5C">
              <w:rPr>
                <w:rFonts w:ascii="Times New Roman" w:hAnsi="Times New Roman"/>
                <w:sz w:val="24"/>
                <w:szCs w:val="24"/>
              </w:rPr>
              <w:t>019 г. №.</w:t>
            </w:r>
            <w:r>
              <w:rPr>
                <w:rFonts w:ascii="Times New Roman" w:hAnsi="Times New Roman"/>
                <w:sz w:val="24"/>
                <w:szCs w:val="24"/>
              </w:rPr>
              <w:t>1003-19</w:t>
            </w: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61" w:type="dxa"/>
            <w:gridSpan w:val="3"/>
            <w:shd w:val="clear" w:color="FFFFFF" w:fill="auto"/>
            <w:vAlign w:val="bottom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161" w:type="dxa"/>
            <w:gridSpan w:val="3"/>
            <w:shd w:val="clear" w:color="FFFFFF" w:fill="auto"/>
            <w:vAlign w:val="bottom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08" w:type="dxa"/>
            <w:gridSpan w:val="7"/>
            <w:shd w:val="clear" w:color="FFFFFF" w:fill="auto"/>
            <w:vAlign w:val="bottom"/>
          </w:tcPr>
          <w:p w:rsidR="00297384" w:rsidRDefault="00BA6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297384" w:rsidRDefault="00BA6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84" w:rsidRDefault="00BA6B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0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84" w:rsidRDefault="00BA6B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6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84" w:rsidRDefault="00BA6B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4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84" w:rsidRDefault="00BA6B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6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84" w:rsidRDefault="00BA6B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84" w:rsidRDefault="00BA6B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5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84" w:rsidRDefault="00BA6B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84" w:rsidRDefault="00BA6B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Заглушка универсальная, ЛЛ, синяя</w:t>
            </w:r>
          </w:p>
        </w:tc>
        <w:tc>
          <w:tcPr>
            <w:tcW w:w="36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Заглушка для герметичного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закрытия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инфузионных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систем, катетеров, фильтров и других принадлежностей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инфузионной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терапии при помощи винтового соединения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Цвет синий.</w:t>
            </w:r>
          </w:p>
        </w:tc>
        <w:tc>
          <w:tcPr>
            <w:tcW w:w="4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7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E1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уретральный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СН 14 двухходовый</w:t>
            </w:r>
          </w:p>
        </w:tc>
        <w:tc>
          <w:tcPr>
            <w:tcW w:w="36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уретральний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Фоллея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СН 14.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Изготолен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 сплава силикона и латекса, ярко желтого цвета, выделяющего силикон на всем протяжении использования и препятствующий соприкосновению стенок уретры с материалом катетера, име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атравматический закругленный кончик и 2 овальных отверстия. Баллон не менее 30 мл. Длина катетера 38-40 см. Стерильная упаковка. Цветовая маркировка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соотвествующая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международному стандарту размеров.</w:t>
            </w:r>
          </w:p>
        </w:tc>
        <w:tc>
          <w:tcPr>
            <w:tcW w:w="4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E1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A6B5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E1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уретральный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СН 16 </w:t>
            </w:r>
            <w:r>
              <w:rPr>
                <w:rFonts w:ascii="Times New Roman" w:hAnsi="Times New Roman"/>
                <w:sz w:val="24"/>
                <w:szCs w:val="24"/>
              </w:rPr>
              <w:t>двухходовый</w:t>
            </w:r>
          </w:p>
        </w:tc>
        <w:tc>
          <w:tcPr>
            <w:tcW w:w="36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уретральний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СН 16.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Изготолен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 сплава силикона и латекса, ярко желтого цвета, выделяющего силикон на всем протяжении использования и препятствующий соприкосновению стенок уретры с материалом катетера, имеет атравматич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еский закругленный кончик и 2 овальных отверстия. Баллон не менее 30 мл. Длина катетера 38-40 см. Стерильная упаковка. Цветовая маркировка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соотвествующая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международному стандарту размеров.</w:t>
            </w:r>
          </w:p>
        </w:tc>
        <w:tc>
          <w:tcPr>
            <w:tcW w:w="4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E1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E1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0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уретральный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СН 18 двухходовый</w:t>
            </w:r>
          </w:p>
        </w:tc>
        <w:tc>
          <w:tcPr>
            <w:tcW w:w="36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уретральний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СН 18.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Изготолен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 сплава силикона и латекса, ярко желтого цвета, выделяющего силикон на всем протяжении использования и препятствующий соприкосновению стенок уретры с материалом катетера, имеет атравматический закругленный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ончик и 2 овальных отверстия. Баллон не менее 30 мл. Длина катетера 38-40 см. Стерильная упаковка. Цветовая маркировка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соотвествующая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международному стандарту размеров.</w:t>
            </w:r>
          </w:p>
        </w:tc>
        <w:tc>
          <w:tcPr>
            <w:tcW w:w="4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E1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E1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Контур дыхательный, линия вдоха и выдоха, линия увлажнителя,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влагосборника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тройник, крепление контура, длина 1,8 м</w:t>
            </w:r>
          </w:p>
        </w:tc>
        <w:tc>
          <w:tcPr>
            <w:tcW w:w="36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Дыхательный контур для использования с аппаратом ИВЛ. Изготовлен из прозрачного, армированного с внешней стороны ПВХ, устойчивого к перегибу, гладкой внутренней поверхностью, диаметром 22 мм длиной 180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см, встроенные в контур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влагосборника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автоматическим клапаном предотвращающим разгерметизацию, тройник-коннектор с портом контроля давления газов в контуре и портом для термометра, заглушки портов, гибкие коннекторы-манжеты со стороны аппарата с разъе</w:t>
            </w:r>
            <w:r>
              <w:rPr>
                <w:rFonts w:ascii="Times New Roman" w:hAnsi="Times New Roman"/>
                <w:sz w:val="24"/>
                <w:szCs w:val="24"/>
              </w:rPr>
              <w:t>мом 22F, линия увлажнителя длиной 60 см с гибкими коннекторами- манжетами с разъемом 22F с обеих сторон, угловой коннектор, коннекторы подсоединения 22/15мм, крепление контура. Клинически чистая упаковка.</w:t>
            </w:r>
          </w:p>
        </w:tc>
        <w:tc>
          <w:tcPr>
            <w:tcW w:w="4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E1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E1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Эсмарха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одноразовая с наконечником</w:t>
            </w:r>
          </w:p>
        </w:tc>
        <w:tc>
          <w:tcPr>
            <w:tcW w:w="36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эсмарха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одноразовая с наконечником на дистальном конце удлинённой трубки, горловина мешка с крышкой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запорным механизмом, с уплотнительным кольцом для подвешивания, диаметр трубки СН 20, длина - 1,5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объём 1,5 л с градуировкой деления на мешке. Стерильная.</w:t>
            </w:r>
          </w:p>
        </w:tc>
        <w:tc>
          <w:tcPr>
            <w:tcW w:w="4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E1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E1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0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с двухканальным ЦВК 7Fr/16G-16G</w:t>
            </w:r>
          </w:p>
        </w:tc>
        <w:tc>
          <w:tcPr>
            <w:tcW w:w="36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для катетеризации центральных вен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двуканальным катетером. Назначение: катетеризация вен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Сельдингеру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инфузии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измерения ЦВД.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 катетера: термолабильный,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антитромбогенный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контрастный полиуретан. Состав набора: двухканальный катетер с несмываемой разметкой в см, мягким скр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угленным кончиком и соединителем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маркировкой каналов и зажимами. Наружный диаметр катетера 7F (2,4 мм), длина катетера 19±1 см, каналы дистальный 16G (скорость потока не менее 45 мл/мин), проксимальный 16G (скорость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потока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менее 40 мл/мин).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ункционная игла тонкостенная, с овальным срезом 1,3 х 70 мм, профилированный прозрачный павильон,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Дилататор пластиковый, цельнолитой. Проводник металлический гибкий с маркировкой по длине, с J-образным кончиком, в круглом футляре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направителем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пальцевым упором. Неподвижные крылья с отверстиями, прозрачные удлинительные линии с коннекторами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Передвигаемые и фиксируемые крылышки с 2-мя отверстиями для фиксации лигатурой.</w:t>
            </w:r>
          </w:p>
        </w:tc>
        <w:tc>
          <w:tcPr>
            <w:tcW w:w="4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E1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E1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0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Соединитель к контуру дыхательному, угловой конфигурируемый, двойной шарнир, двойная заглушка 22M/15F-22 F</w:t>
            </w:r>
          </w:p>
        </w:tc>
        <w:tc>
          <w:tcPr>
            <w:tcW w:w="36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Соединитель к контуру дыхательному, угловой конфигурируемый, двойной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шарнир, двойная заглушка 22M/15F-22 F. Заглушка 9 мм для оптической бронхоскопии и порт 3.5мм для санации.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 грамм. Длина от 140 до 200 мм. Мертвое пространство 23-39 мл соответственно. Стерильная индивидуальная упаковка.</w:t>
            </w:r>
          </w:p>
        </w:tc>
        <w:tc>
          <w:tcPr>
            <w:tcW w:w="4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E1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E1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0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Удлинитель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инфузионных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насосов, диаметр 2.7 мм, длина 150 см, ПВХ, стандарт</w:t>
            </w:r>
          </w:p>
        </w:tc>
        <w:tc>
          <w:tcPr>
            <w:tcW w:w="36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удлинительная высокого давления для шприцевых насосов, прозрачная, соединители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female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Используемые материалы: поливинилхлорид. Длина линии 150 см. Диаметр наружный 2,7 мм/внутренний 1,5 мм. Объем заполнения 2,6 мл. Резистентность к давл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ению в системе не ниже 4 бар (2944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ммHg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Соединения: Проксимальное: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female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Дистальное: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Стерильно,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однократного применения.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E1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7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E1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0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 дыхательный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комбинированный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бактериальновирусный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 сохранением тепла и влаги дыхательных путей и СО2-портом, прямой</w:t>
            </w:r>
          </w:p>
        </w:tc>
        <w:tc>
          <w:tcPr>
            <w:tcW w:w="36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Бактериальновирусный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фильтр – электростатический, с эффективностью фильтрации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бактерий &gt;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99,99%, вирусов &gt; 99,99%, влагоотдачи пациенту не менее 30 мг.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Н2О/л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1000 мл, потери влаги не более 7мг Н2О/л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1000мл, мертвое пространство фильтра не более 35 мл, сопротивлением не более 1,8 см Н2О при 60 л/мин, для дыхательного объема 150-1000 мл. Вес фильтра не более 31 грамма. Коннекторы 15M/22F-22M/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15F. Фильтрующая мембрана гидрофобная, электростатическая гофрированная, площадью не менее 19.5 см2.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Тепловлагосберегающий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элемент спиралевидный, площадью не менее 1400 см2. Время эффективной фильтрации не менее 24 часа. Прозрачный корпус, наличие дополнит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ельного порта для измерения СО2.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Стерильная  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упаковка.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E1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0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Фильтр дыхательный гидрофобный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бактериальновирусный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СО2-портом, прямой</w:t>
            </w:r>
          </w:p>
        </w:tc>
        <w:tc>
          <w:tcPr>
            <w:tcW w:w="36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Бактериальновирусный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фильтр - электростатический, двухстороннего действия,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фильтрирующая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мембрана площадью не менее 19,25 см2, с эффективностью фильтрации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бактерий &gt;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99,99%, вирусов &gt; 99,99%, мертвым пространством фильтра не более 26 мл, сопротивлением не более 1,6 см Н2О при 60л/мин, для дыхательного объема 150-1000 мл. Время эффективной филь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трации не менее 24 часа. Вес не более 22 грамм. Коннекторы 15M/22F-22M/15F. Прозрачный корпус, наличие дополнительного порта для измерения СО2.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Стерильная  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упаковка.</w:t>
            </w:r>
          </w:p>
        </w:tc>
        <w:tc>
          <w:tcPr>
            <w:tcW w:w="4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0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Шприц трехкомпонентный объемом 50 мл для шприцевых </w:t>
            </w:r>
            <w:r>
              <w:rPr>
                <w:rFonts w:ascii="Times New Roman" w:hAnsi="Times New Roman"/>
                <w:sz w:val="24"/>
                <w:szCs w:val="24"/>
              </w:rPr>
              <w:t>дозаторов с иглой</w:t>
            </w:r>
          </w:p>
        </w:tc>
        <w:tc>
          <w:tcPr>
            <w:tcW w:w="36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Шприц трехкомпонентный для шприцевых насосов 50 мл с иглой (G14, длина 30 мм), с винтовой насадкой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легко скользящая накладка поршня с двумя уплотнительными кольцами, нестираемая четкая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градуировка, минимальное расстояние между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порными планками цилиндра и плунжера 36 мм, разъем для фиксации в шприцевом насосе под упорной планкой плунжера. Используемые материалы: полипропилен,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изопреновая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резина, не содержит латекс. Резистентность к давлению в системе не ниже 4 бар (2944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ммHg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ложение канюли - центральное. Соединение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6%, наружная резьба. Должен быть совместим со шприцевыми дозаторами 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Перфузор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0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Зонд желудочный для реанимации СН 16</w:t>
            </w:r>
          </w:p>
        </w:tc>
        <w:tc>
          <w:tcPr>
            <w:tcW w:w="36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Стерильный,Одноразовый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,Изготовлен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 прозрачного термопластичного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ПВХ,Длина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зонда: 110 см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0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Калоприемник однокомпонентный 20-70 мм</w:t>
            </w:r>
          </w:p>
        </w:tc>
        <w:tc>
          <w:tcPr>
            <w:tcW w:w="36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 w:rsidP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Однокомпонентные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калоприемники представляют собой емкости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запахонепроницаемой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пленки. Двойная система крепления – липкий фланец и герметизирующее кольцо – надежно удерживает емкость на теле пациента и обеспечивает герметичность и отсутствие запаха. В качестве адгезивног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материала, который удерживает калоприемники на коже, используется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гипоаллергенный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гидроколлоидный материал АБУЦЕЛ® (патент RU№2005494 от 18.11.1991г.). Материал АБУЦЕЛ® не только надежно фиксирует изделие на коже в течение нескольких дней, но и обладает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ранозаживляющими свойствами. Благодаря входящим в его состав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альгинату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натрия и касторовому маслу кожа вокруг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получает дополнительное питание, что способствует лучшему заживлению мелких ранок и ссадин, возникающих в результате попадания на кожу выдел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ений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Размер: вырезаемое отверстие 20-70 мм. В комплекте 5 емкостей, 1 пластиковый зажим и инструкции по использованию</w:t>
            </w:r>
          </w:p>
        </w:tc>
        <w:tc>
          <w:tcPr>
            <w:tcW w:w="4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84" w:rsidRDefault="00297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</w:tbl>
    <w:tbl>
      <w:tblPr>
        <w:tblStyle w:val="TableStyle01"/>
        <w:tblW w:w="10773" w:type="dxa"/>
        <w:tblInd w:w="-8" w:type="dxa"/>
        <w:tblLook w:val="04A0" w:firstRow="1" w:lastRow="0" w:firstColumn="1" w:lastColumn="0" w:noHBand="0" w:noVBand="1"/>
      </w:tblPr>
      <w:tblGrid>
        <w:gridCol w:w="284"/>
        <w:gridCol w:w="2533"/>
        <w:gridCol w:w="3321"/>
        <w:gridCol w:w="525"/>
        <w:gridCol w:w="567"/>
        <w:gridCol w:w="708"/>
        <w:gridCol w:w="1560"/>
        <w:gridCol w:w="1275"/>
      </w:tblGrid>
      <w:tr w:rsidR="00BA6B5C" w:rsidTr="00BA6B5C">
        <w:trPr>
          <w:trHeight w:val="6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6B5C" w:rsidRDefault="00BA6B5C" w:rsidP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A6B5C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Кран 3-ходовой, 360°, синий</w:t>
            </w:r>
          </w:p>
        </w:tc>
        <w:tc>
          <w:tcPr>
            <w:tcW w:w="3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A6B5C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Кран из прозрачного, химически-устойчивого поликарбоната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0), Т-образный корпус с прямоточными каналами, коннекторы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регулятор потоков 3600 синий (вена),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щелчковым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фиксатором поворота, шаг 450. Устойчивость к давлению до 4 бар. Встроенный адаптер свободного вращения, защищающий систему от разгерметизации и инфицирования.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A6B5C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A6B5C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6B5C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6B5C" w:rsidRDefault="00BA6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6B5C" w:rsidRDefault="00BA6B5C">
            <w:pPr>
              <w:rPr>
                <w:szCs w:val="16"/>
              </w:rPr>
            </w:pPr>
          </w:p>
        </w:tc>
        <w:bookmarkStart w:id="0" w:name="_GoBack"/>
        <w:bookmarkEnd w:id="0"/>
      </w:tr>
    </w:tbl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2204"/>
        <w:gridCol w:w="3631"/>
        <w:gridCol w:w="432"/>
        <w:gridCol w:w="636"/>
        <w:gridCol w:w="725"/>
        <w:gridCol w:w="1554"/>
        <w:gridCol w:w="1265"/>
      </w:tblGrid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326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2204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3631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297384" w:rsidRDefault="00BA6B5C" w:rsidP="00741B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поставки: не более </w:t>
            </w:r>
            <w:r w:rsidR="00741BE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календарных дней с момента заключения </w:t>
            </w:r>
            <w:r>
              <w:rPr>
                <w:rFonts w:ascii="Times New Roman" w:hAnsi="Times New Roman"/>
                <w:sz w:val="28"/>
                <w:szCs w:val="28"/>
              </w:rPr>
              <w:t>контракта.</w:t>
            </w: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326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2204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3631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297384" w:rsidRDefault="00BA6B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</w:t>
            </w: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326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1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297384" w:rsidRDefault="00BA6B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</w:t>
            </w:r>
            <w:r>
              <w:rPr>
                <w:rFonts w:ascii="Times New Roman" w:hAnsi="Times New Roman"/>
                <w:sz w:val="28"/>
                <w:szCs w:val="28"/>
              </w:rPr>
              <w:t>Красноярск, ул. Партизана Железняка 3-б, отдел обеспечения государственных закупок, тел. 220-16-04</w:t>
            </w: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326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2204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3631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297384" w:rsidRDefault="00BA6B5C" w:rsidP="00741B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принимаются в срок до </w:t>
            </w:r>
            <w:r w:rsidR="00741BE5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.10.2019 17:00:00 по местному времени.</w:t>
            </w: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2204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3631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297384" w:rsidRDefault="00BA6B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</w:t>
            </w:r>
            <w:r>
              <w:rPr>
                <w:rFonts w:ascii="Times New Roman" w:hAnsi="Times New Roman"/>
                <w:sz w:val="28"/>
                <w:szCs w:val="28"/>
              </w:rPr>
              <w:t>службы________________________/Куликова И.О./</w:t>
            </w: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2204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3631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2204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3631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26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2204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3631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432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636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297384" w:rsidRDefault="00297384">
            <w:pPr>
              <w:rPr>
                <w:szCs w:val="16"/>
              </w:rPr>
            </w:pP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297384" w:rsidRDefault="00BA6B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297384" w:rsidTr="00E17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297384" w:rsidRDefault="00741B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Алешечкина Е.А.</w:t>
            </w:r>
            <w:r w:rsidR="00BA6B5C">
              <w:rPr>
                <w:rFonts w:ascii="Times New Roman" w:hAnsi="Times New Roman"/>
                <w:sz w:val="28"/>
                <w:szCs w:val="28"/>
              </w:rPr>
              <w:t>, тел.</w:t>
            </w:r>
            <w:r>
              <w:rPr>
                <w:rFonts w:ascii="Times New Roman" w:hAnsi="Times New Roman"/>
                <w:sz w:val="28"/>
                <w:szCs w:val="28"/>
              </w:rPr>
              <w:t>220-16-04</w:t>
            </w:r>
          </w:p>
        </w:tc>
      </w:tr>
    </w:tbl>
    <w:p w:rsidR="00000000" w:rsidRDefault="00BA6B5C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84"/>
    <w:rsid w:val="00297384"/>
    <w:rsid w:val="006C6D4E"/>
    <w:rsid w:val="00741BE5"/>
    <w:rsid w:val="008263EC"/>
    <w:rsid w:val="00BA6B5C"/>
    <w:rsid w:val="00E1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1453C-856D-4457-923B-E281DCC8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BA6B5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Алёшечкина Екатерина Александровна</dc:creator>
  <cp:lastModifiedBy>Алёшечкина Екатерина Александровна</cp:lastModifiedBy>
  <cp:revision>3</cp:revision>
  <dcterms:created xsi:type="dcterms:W3CDTF">2019-10-23T11:14:00Z</dcterms:created>
  <dcterms:modified xsi:type="dcterms:W3CDTF">2019-10-23T11:24:00Z</dcterms:modified>
</cp:coreProperties>
</file>